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C1" w:rsidRPr="004276D3" w:rsidRDefault="00673BC1" w:rsidP="00673BC1">
      <w:pPr>
        <w:autoSpaceDE w:val="0"/>
        <w:autoSpaceDN w:val="0"/>
        <w:adjustRightInd w:val="0"/>
        <w:spacing w:after="0" w:line="240" w:lineRule="auto"/>
        <w:rPr>
          <w:rFonts w:ascii="AlienLeague" w:hAnsi="AlienLeague" w:cs="AlienLeague"/>
          <w:b/>
          <w:color w:val="8A171E"/>
          <w:sz w:val="28"/>
          <w:szCs w:val="28"/>
        </w:rPr>
      </w:pPr>
      <w:r w:rsidRPr="004276D3">
        <w:rPr>
          <w:rFonts w:ascii="AlienLeague" w:hAnsi="AlienLeague" w:cs="AlienLeague"/>
          <w:b/>
          <w:color w:val="8A171E"/>
          <w:sz w:val="28"/>
          <w:szCs w:val="28"/>
        </w:rPr>
        <w:t>Science That Saves Lives</w:t>
      </w:r>
    </w:p>
    <w:p w:rsidR="00673BC1" w:rsidRPr="004276D3" w:rsidRDefault="00673BC1" w:rsidP="00673BC1">
      <w:pPr>
        <w:autoSpaceDE w:val="0"/>
        <w:autoSpaceDN w:val="0"/>
        <w:adjustRightInd w:val="0"/>
        <w:spacing w:after="0" w:line="240" w:lineRule="auto"/>
        <w:rPr>
          <w:rFonts w:ascii="AlienLeague" w:hAnsi="AlienLeague" w:cs="AlienLeague"/>
          <w:color w:val="8A171E"/>
          <w:sz w:val="24"/>
          <w:szCs w:val="24"/>
        </w:rPr>
      </w:pPr>
      <w:r w:rsidRPr="004276D3">
        <w:rPr>
          <w:rFonts w:ascii="AlienLeague" w:hAnsi="AlienLeague" w:cs="AlienLeague"/>
          <w:color w:val="8A171E"/>
          <w:sz w:val="24"/>
          <w:szCs w:val="24"/>
        </w:rPr>
        <w:t>“Crash Science” addresses the leading cause of death of teens in the United States</w:t>
      </w:r>
    </w:p>
    <w:p w:rsidR="00673BC1" w:rsidRPr="004276D3" w:rsidRDefault="00673BC1" w:rsidP="00673BC1">
      <w:pPr>
        <w:tabs>
          <w:tab w:val="left" w:pos="3533"/>
        </w:tabs>
        <w:rPr>
          <w:rFonts w:ascii="Agenda-Bold" w:hAnsi="Agenda-Bold" w:cs="Agenda-Bold"/>
          <w:b/>
          <w:bCs/>
          <w:color w:val="000000"/>
          <w:sz w:val="18"/>
          <w:szCs w:val="18"/>
        </w:rPr>
      </w:pPr>
      <w:r w:rsidRPr="004276D3">
        <w:rPr>
          <w:rFonts w:ascii="Agenda-Bold" w:hAnsi="Agenda-Bold" w:cs="Agenda-Bold"/>
          <w:b/>
          <w:bCs/>
          <w:color w:val="000000"/>
          <w:sz w:val="18"/>
          <w:szCs w:val="18"/>
        </w:rPr>
        <w:t xml:space="preserve">Linda Jones and </w:t>
      </w:r>
      <w:proofErr w:type="spellStart"/>
      <w:r w:rsidRPr="004276D3">
        <w:rPr>
          <w:rFonts w:ascii="Agenda-Bold" w:hAnsi="Agenda-Bold" w:cs="Agenda-Bold"/>
          <w:b/>
          <w:bCs/>
          <w:color w:val="000000"/>
          <w:sz w:val="18"/>
          <w:szCs w:val="18"/>
        </w:rPr>
        <w:t>Griff</w:t>
      </w:r>
      <w:proofErr w:type="spellEnd"/>
      <w:r w:rsidRPr="004276D3">
        <w:rPr>
          <w:rFonts w:ascii="Agenda-Bold" w:hAnsi="Agenda-Bold" w:cs="Agenda-Bold"/>
          <w:b/>
          <w:bCs/>
          <w:color w:val="000000"/>
          <w:sz w:val="18"/>
          <w:szCs w:val="18"/>
        </w:rPr>
        <w:t xml:space="preserve"> Jones</w:t>
      </w:r>
    </w:p>
    <w:tbl>
      <w:tblPr>
        <w:tblStyle w:val="TableGrid"/>
        <w:tblW w:w="0" w:type="auto"/>
        <w:tblLook w:val="04A0" w:firstRow="1" w:lastRow="0" w:firstColumn="1" w:lastColumn="0" w:noHBand="0" w:noVBand="1"/>
      </w:tblPr>
      <w:tblGrid>
        <w:gridCol w:w="9738"/>
        <w:gridCol w:w="702"/>
      </w:tblGrid>
      <w:tr w:rsidR="00673BC1" w:rsidTr="00D16976">
        <w:trPr>
          <w:trHeight w:val="11195"/>
        </w:trPr>
        <w:tc>
          <w:tcPr>
            <w:tcW w:w="9738" w:type="dxa"/>
          </w:tcPr>
          <w:p w:rsidR="00673BC1" w:rsidRPr="000B6422" w:rsidRDefault="00673BC1" w:rsidP="004276D3">
            <w:pPr>
              <w:autoSpaceDE w:val="0"/>
              <w:autoSpaceDN w:val="0"/>
              <w:adjustRightInd w:val="0"/>
              <w:spacing w:line="312" w:lineRule="auto"/>
              <w:rPr>
                <w:rFonts w:cs="Agenda-Bold"/>
                <w:b/>
                <w:bCs/>
                <w:color w:val="C00000"/>
              </w:rPr>
            </w:pPr>
            <w:r w:rsidRPr="000B6422">
              <w:rPr>
                <w:rFonts w:cs="Agenda-Bold"/>
                <w:b/>
                <w:bCs/>
                <w:color w:val="C00000"/>
              </w:rPr>
              <w:t>“Crash Science” addresses the leading cause of death of teens in the United States</w:t>
            </w:r>
          </w:p>
          <w:p w:rsidR="00673BC1" w:rsidRPr="004276D3" w:rsidRDefault="00673BC1" w:rsidP="004276D3">
            <w:pPr>
              <w:autoSpaceDE w:val="0"/>
              <w:autoSpaceDN w:val="0"/>
              <w:adjustRightInd w:val="0"/>
              <w:spacing w:line="312" w:lineRule="auto"/>
              <w:rPr>
                <w:rFonts w:cs="GranjonLTStd"/>
                <w:color w:val="000000"/>
              </w:rPr>
            </w:pPr>
            <w:r w:rsidRPr="00673BC1">
              <w:rPr>
                <w:rFonts w:cs="GranjonLTStd"/>
                <w:color w:val="000000"/>
              </w:rPr>
              <w:t xml:space="preserve">Sixty-seven deaths per week, nine per day, one every two hours: Motor-vehicle crashes are the number one killer of teenagers in the United States, and although fatalities have declined in recent years, almost 3,500 teenagers still die every year in motor vehicle crashes (NHTSA 2011). In fact, 35% of all deaths among 16- to 19-year-olds are related to motor vehicles (National Center </w:t>
            </w:r>
            <w:r w:rsidRPr="00673BC1">
              <w:rPr>
                <w:rFonts w:cs="GranjonLTStd"/>
              </w:rPr>
              <w:t>for Injury Prevention and Control 2006). This article outlines</w:t>
            </w:r>
            <w:r w:rsidRPr="00673BC1">
              <w:rPr>
                <w:rFonts w:cs="GranjonLTStd"/>
                <w:color w:val="000000"/>
              </w:rPr>
              <w:t xml:space="preserve"> </w:t>
            </w:r>
            <w:r w:rsidRPr="00673BC1">
              <w:rPr>
                <w:rFonts w:cs="GranjonLTStd"/>
              </w:rPr>
              <w:t>our attempt to use research from the emerging field of</w:t>
            </w:r>
            <w:r w:rsidR="004276D3">
              <w:rPr>
                <w:rFonts w:cs="GranjonLTStd"/>
                <w:color w:val="000000"/>
              </w:rPr>
              <w:t xml:space="preserve"> </w:t>
            </w:r>
            <w:r w:rsidRPr="00673BC1">
              <w:rPr>
                <w:rFonts w:cs="GranjonLTStd"/>
              </w:rPr>
              <w:t>crash science to teach truly life-saving lessons.</w:t>
            </w:r>
          </w:p>
          <w:p w:rsidR="00673BC1" w:rsidRPr="004276D3" w:rsidRDefault="00673BC1" w:rsidP="004276D3">
            <w:pPr>
              <w:tabs>
                <w:tab w:val="left" w:pos="3533"/>
              </w:tabs>
              <w:spacing w:line="312" w:lineRule="auto"/>
              <w:rPr>
                <w:rFonts w:cs="GranjonLTStd"/>
                <w:sz w:val="16"/>
                <w:szCs w:val="16"/>
              </w:rPr>
            </w:pPr>
          </w:p>
          <w:p w:rsidR="00673BC1" w:rsidRPr="000B6422" w:rsidRDefault="00673BC1" w:rsidP="004276D3">
            <w:pPr>
              <w:autoSpaceDE w:val="0"/>
              <w:autoSpaceDN w:val="0"/>
              <w:adjustRightInd w:val="0"/>
              <w:spacing w:line="312" w:lineRule="auto"/>
              <w:rPr>
                <w:rFonts w:cs="Agenda-Bold"/>
                <w:b/>
                <w:bCs/>
                <w:color w:val="C00000"/>
              </w:rPr>
            </w:pPr>
            <w:r w:rsidRPr="000B6422">
              <w:rPr>
                <w:rFonts w:cs="Agenda-Bold"/>
                <w:b/>
                <w:bCs/>
                <w:color w:val="C00000"/>
              </w:rPr>
              <w:t>Teenage crash research</w:t>
            </w:r>
          </w:p>
          <w:p w:rsidR="00673BC1" w:rsidRPr="004276D3" w:rsidRDefault="00673BC1" w:rsidP="004276D3">
            <w:pPr>
              <w:autoSpaceDE w:val="0"/>
              <w:autoSpaceDN w:val="0"/>
              <w:adjustRightInd w:val="0"/>
              <w:spacing w:line="312" w:lineRule="auto"/>
              <w:rPr>
                <w:rFonts w:cs="GranjonLTStd"/>
                <w:color w:val="000000"/>
              </w:rPr>
            </w:pPr>
            <w:r w:rsidRPr="00673BC1">
              <w:rPr>
                <w:rFonts w:cs="GranjonLTStd"/>
                <w:color w:val="000000"/>
              </w:rPr>
              <w:t xml:space="preserve">In recent years, several agencies and organizations have collaborated on initiatives to reduce crashes, injuries, </w:t>
            </w:r>
            <w:r w:rsidRPr="00673BC1">
              <w:rPr>
                <w:rFonts w:cs="GranjonLTStd"/>
              </w:rPr>
              <w:t>and deaths among teenage drivers. Spearheading these</w:t>
            </w:r>
            <w:r w:rsidRPr="00673BC1">
              <w:rPr>
                <w:rFonts w:cs="GranjonLTStd"/>
                <w:color w:val="000000"/>
              </w:rPr>
              <w:t xml:space="preserve"> </w:t>
            </w:r>
            <w:r w:rsidRPr="00673BC1">
              <w:rPr>
                <w:rFonts w:cs="GranjonLTStd"/>
              </w:rPr>
              <w:t>efforts have been the National Highway Traffic Safety</w:t>
            </w:r>
            <w:r w:rsidR="004276D3">
              <w:rPr>
                <w:rFonts w:cs="GranjonLTStd"/>
                <w:color w:val="000000"/>
              </w:rPr>
              <w:t xml:space="preserve"> </w:t>
            </w:r>
            <w:r w:rsidRPr="00673BC1">
              <w:rPr>
                <w:rFonts w:cs="GranjonLTStd"/>
              </w:rPr>
              <w:t>Administration (NHTSA), a federal agency, and the Insurance Institute for Hig</w:t>
            </w:r>
            <w:r w:rsidR="004276D3">
              <w:rPr>
                <w:rFonts w:cs="GranjonLTStd"/>
              </w:rPr>
              <w:t xml:space="preserve">hway Safety (IIHS), a nonprofit </w:t>
            </w:r>
            <w:r w:rsidRPr="00673BC1">
              <w:rPr>
                <w:rFonts w:cs="GranjonLTStd"/>
              </w:rPr>
              <w:t>organization.</w:t>
            </w:r>
          </w:p>
          <w:p w:rsidR="00673BC1" w:rsidRPr="00D31A91" w:rsidRDefault="00673BC1" w:rsidP="004276D3">
            <w:pPr>
              <w:autoSpaceDE w:val="0"/>
              <w:autoSpaceDN w:val="0"/>
              <w:adjustRightInd w:val="0"/>
              <w:spacing w:line="312" w:lineRule="auto"/>
              <w:rPr>
                <w:rFonts w:cs="GranjonLTStd"/>
                <w:sz w:val="16"/>
                <w:szCs w:val="16"/>
              </w:rPr>
            </w:pPr>
          </w:p>
          <w:p w:rsidR="00673BC1" w:rsidRPr="00673BC1" w:rsidRDefault="00673BC1" w:rsidP="004276D3">
            <w:pPr>
              <w:autoSpaceDE w:val="0"/>
              <w:autoSpaceDN w:val="0"/>
              <w:adjustRightInd w:val="0"/>
              <w:spacing w:line="312" w:lineRule="auto"/>
              <w:rPr>
                <w:rFonts w:cs="GranjonLTStd"/>
              </w:rPr>
            </w:pPr>
            <w:r w:rsidRPr="00673BC1">
              <w:rPr>
                <w:rFonts w:cs="GranjonLTStd"/>
              </w:rPr>
              <w:t>Statistics highlight the importance of their work: Although teenagers drive less than all but the oldest</w:t>
            </w:r>
          </w:p>
          <w:p w:rsidR="00673BC1" w:rsidRPr="00673BC1" w:rsidRDefault="00673BC1" w:rsidP="004276D3">
            <w:pPr>
              <w:autoSpaceDE w:val="0"/>
              <w:autoSpaceDN w:val="0"/>
              <w:adjustRightInd w:val="0"/>
              <w:spacing w:line="312" w:lineRule="auto"/>
              <w:rPr>
                <w:rFonts w:cs="GranjonLTStd"/>
              </w:rPr>
            </w:pPr>
            <w:r w:rsidRPr="00673BC1">
              <w:rPr>
                <w:rFonts w:cs="GranjonLTStd"/>
              </w:rPr>
              <w:t>(</w:t>
            </w:r>
            <w:proofErr w:type="gramStart"/>
            <w:r w:rsidRPr="00673BC1">
              <w:rPr>
                <w:rFonts w:cs="GranjonLTStd"/>
              </w:rPr>
              <w:t>ages</w:t>
            </w:r>
            <w:proofErr w:type="gramEnd"/>
            <w:r w:rsidRPr="00673BC1">
              <w:rPr>
                <w:rFonts w:cs="GranjonLTStd"/>
              </w:rPr>
              <w:t xml:space="preserve"> 70+) drivers, teenage crash rates and deaths are the highest of all drivers (Lyman et al. 2002). Sixteen-year-olds are at the highest risk for both crashes and deaths in motor vehicles. Their crash rate per mile driven is twice as high as that of the second highest risk group (18- to 19-year-olds).</w:t>
            </w:r>
          </w:p>
          <w:p w:rsidR="00673BC1" w:rsidRPr="00D31A91" w:rsidRDefault="00673BC1" w:rsidP="004276D3">
            <w:pPr>
              <w:autoSpaceDE w:val="0"/>
              <w:autoSpaceDN w:val="0"/>
              <w:adjustRightInd w:val="0"/>
              <w:spacing w:line="312" w:lineRule="auto"/>
              <w:rPr>
                <w:rFonts w:cs="GranjonLTStd"/>
                <w:sz w:val="16"/>
                <w:szCs w:val="16"/>
              </w:rPr>
            </w:pPr>
          </w:p>
          <w:p w:rsidR="00673BC1" w:rsidRPr="00673BC1" w:rsidRDefault="00673BC1" w:rsidP="004276D3">
            <w:pPr>
              <w:autoSpaceDE w:val="0"/>
              <w:autoSpaceDN w:val="0"/>
              <w:adjustRightInd w:val="0"/>
              <w:spacing w:line="312" w:lineRule="auto"/>
              <w:rPr>
                <w:rFonts w:cs="GranjonLTStd"/>
              </w:rPr>
            </w:pPr>
            <w:r w:rsidRPr="00673BC1">
              <w:rPr>
                <w:rFonts w:cs="GranjonLTStd"/>
              </w:rPr>
              <w:t xml:space="preserve">Why are teenage drivers so prone to car crashes? The obvious explanation is lack of driving experience, but that’s only partially responsible. Research has found that teenagers’ lack of emotional and cognitive maturity increases risky driving practices, including speeding, tailgating, and not wearing seatbelts (Juarez et al. 2006; </w:t>
            </w:r>
            <w:proofErr w:type="spellStart"/>
            <w:r w:rsidRPr="00673BC1">
              <w:rPr>
                <w:rFonts w:cs="GranjonLTStd"/>
              </w:rPr>
              <w:t>McCartt</w:t>
            </w:r>
            <w:proofErr w:type="spellEnd"/>
            <w:r w:rsidRPr="00673BC1">
              <w:rPr>
                <w:rFonts w:cs="GranjonLTStd"/>
              </w:rPr>
              <w:t xml:space="preserve"> et al. 2009). A common misconception is that most teenagers who die in crashes are drivers. In fact, three of every five are passengers in vehicles driven by other</w:t>
            </w:r>
            <w:r>
              <w:rPr>
                <w:rFonts w:cs="GranjonLTStd"/>
              </w:rPr>
              <w:t xml:space="preserve"> teenagers (</w:t>
            </w:r>
            <w:proofErr w:type="spellStart"/>
            <w:r>
              <w:rPr>
                <w:rFonts w:cs="GranjonLTStd"/>
              </w:rPr>
              <w:t>McCartt</w:t>
            </w:r>
            <w:proofErr w:type="spellEnd"/>
            <w:r>
              <w:rPr>
                <w:rFonts w:cs="GranjonLTStd"/>
              </w:rPr>
              <w:t xml:space="preserve">, </w:t>
            </w:r>
            <w:proofErr w:type="spellStart"/>
            <w:r>
              <w:rPr>
                <w:rFonts w:cs="GranjonLTStd"/>
              </w:rPr>
              <w:t>Shabanova</w:t>
            </w:r>
            <w:proofErr w:type="spellEnd"/>
            <w:r>
              <w:rPr>
                <w:rFonts w:cs="GranjonLTStd"/>
              </w:rPr>
              <w:t xml:space="preserve">, </w:t>
            </w:r>
            <w:r w:rsidRPr="00673BC1">
              <w:rPr>
                <w:rFonts w:cs="GranjonLTStd"/>
              </w:rPr>
              <w:t>and Leaf 2003).</w:t>
            </w:r>
          </w:p>
          <w:p w:rsidR="00673BC1" w:rsidRPr="00D31A91" w:rsidRDefault="00673BC1" w:rsidP="004276D3">
            <w:pPr>
              <w:autoSpaceDE w:val="0"/>
              <w:autoSpaceDN w:val="0"/>
              <w:adjustRightInd w:val="0"/>
              <w:spacing w:line="312" w:lineRule="auto"/>
              <w:rPr>
                <w:rFonts w:cs="GranjonLTStd"/>
                <w:sz w:val="16"/>
                <w:szCs w:val="16"/>
              </w:rPr>
            </w:pPr>
          </w:p>
          <w:p w:rsidR="00673BC1" w:rsidRPr="00673BC1" w:rsidRDefault="00673BC1" w:rsidP="004276D3">
            <w:pPr>
              <w:autoSpaceDE w:val="0"/>
              <w:autoSpaceDN w:val="0"/>
              <w:adjustRightInd w:val="0"/>
              <w:spacing w:line="312" w:lineRule="auto"/>
              <w:rPr>
                <w:rFonts w:cs="GranjonLTStd"/>
              </w:rPr>
            </w:pPr>
            <w:r w:rsidRPr="00673BC1">
              <w:rPr>
                <w:rFonts w:cs="GranjonLTStd"/>
              </w:rPr>
              <w:t xml:space="preserve">One unusual study observed </w:t>
            </w:r>
            <w:r>
              <w:rPr>
                <w:rFonts w:cs="GranjonLTStd"/>
              </w:rPr>
              <w:t xml:space="preserve">teenagers arriving at school in </w:t>
            </w:r>
            <w:r w:rsidRPr="00673BC1">
              <w:rPr>
                <w:rFonts w:cs="GranjonLTStd"/>
              </w:rPr>
              <w:t>the morning and found seat belt use highest among teenagers</w:t>
            </w:r>
            <w:r>
              <w:rPr>
                <w:rFonts w:cs="GranjonLTStd"/>
              </w:rPr>
              <w:t xml:space="preserve"> </w:t>
            </w:r>
            <w:r w:rsidRPr="00673BC1">
              <w:rPr>
                <w:rFonts w:cs="GranjonLTStd"/>
              </w:rPr>
              <w:t>arriving in cars driven by ad</w:t>
            </w:r>
            <w:r>
              <w:rPr>
                <w:rFonts w:cs="GranjonLTStd"/>
              </w:rPr>
              <w:t xml:space="preserve">ults and lowest among teenagers </w:t>
            </w:r>
            <w:r w:rsidRPr="00673BC1">
              <w:rPr>
                <w:rFonts w:cs="GranjonLTStd"/>
              </w:rPr>
              <w:t>arriving in cars driven by other t</w:t>
            </w:r>
            <w:r>
              <w:rPr>
                <w:rFonts w:cs="GranjonLTStd"/>
              </w:rPr>
              <w:t xml:space="preserve">eens. Interestingly, about half </w:t>
            </w:r>
            <w:r w:rsidRPr="00673BC1">
              <w:rPr>
                <w:rFonts w:cs="GranjonLTStd"/>
              </w:rPr>
              <w:t>of all teenage passengers don’t wear seat belts even in cars</w:t>
            </w:r>
          </w:p>
          <w:p w:rsidR="00673BC1" w:rsidRPr="004276D3" w:rsidRDefault="00673BC1" w:rsidP="004276D3">
            <w:pPr>
              <w:autoSpaceDE w:val="0"/>
              <w:autoSpaceDN w:val="0"/>
              <w:adjustRightInd w:val="0"/>
              <w:spacing w:line="312" w:lineRule="auto"/>
              <w:rPr>
                <w:rFonts w:cs="GranjonLTStd"/>
              </w:rPr>
            </w:pPr>
            <w:proofErr w:type="gramStart"/>
            <w:r w:rsidRPr="00673BC1">
              <w:rPr>
                <w:rFonts w:cs="GranjonLTStd"/>
              </w:rPr>
              <w:t>driven</w:t>
            </w:r>
            <w:proofErr w:type="gramEnd"/>
            <w:r w:rsidRPr="00673BC1">
              <w:rPr>
                <w:rFonts w:cs="GranjonLTStd"/>
              </w:rPr>
              <w:t xml:space="preserve"> by adults (IIHS 2002). As nu</w:t>
            </w:r>
            <w:r>
              <w:rPr>
                <w:rFonts w:cs="GranjonLTStd"/>
              </w:rPr>
              <w:t xml:space="preserve">merous studies have documented, </w:t>
            </w:r>
            <w:r w:rsidRPr="00673BC1">
              <w:rPr>
                <w:rFonts w:cs="GranjonLTStd"/>
              </w:rPr>
              <w:t>seat belts save lives,</w:t>
            </w:r>
            <w:r>
              <w:rPr>
                <w:rFonts w:cs="GranjonLTStd"/>
              </w:rPr>
              <w:t xml:space="preserve"> and the likelihood of dying in </w:t>
            </w:r>
            <w:r w:rsidRPr="00673BC1">
              <w:rPr>
                <w:rFonts w:cs="GranjonLTStd"/>
              </w:rPr>
              <w:t>a car crash significantly incre</w:t>
            </w:r>
            <w:r>
              <w:rPr>
                <w:rFonts w:cs="GranjonLTStd"/>
              </w:rPr>
              <w:t xml:space="preserve">ases for unbelted occupants. In </w:t>
            </w:r>
            <w:r w:rsidRPr="00673BC1">
              <w:rPr>
                <w:rFonts w:cs="GranjonLTStd"/>
              </w:rPr>
              <w:t>2006, 4,842 teenage passenge</w:t>
            </w:r>
            <w:r>
              <w:rPr>
                <w:rFonts w:cs="GranjonLTStd"/>
              </w:rPr>
              <w:t xml:space="preserve">r vehicle occupants were killed </w:t>
            </w:r>
            <w:r w:rsidRPr="00673BC1">
              <w:rPr>
                <w:rFonts w:cs="GranjonLTStd"/>
              </w:rPr>
              <w:t>in car crashes, and 58% of those</w:t>
            </w:r>
            <w:r w:rsidR="004276D3">
              <w:rPr>
                <w:rFonts w:cs="GranjonLTStd"/>
              </w:rPr>
              <w:t xml:space="preserve"> teens were unrestrained at </w:t>
            </w:r>
            <w:r w:rsidRPr="00673BC1">
              <w:rPr>
                <w:rFonts w:cs="GranjonLTStd"/>
              </w:rPr>
              <w:t>the time of the crash (NHTSA 2007).</w:t>
            </w:r>
          </w:p>
        </w:tc>
        <w:tc>
          <w:tcPr>
            <w:tcW w:w="702" w:type="dxa"/>
          </w:tcPr>
          <w:p w:rsidR="00673BC1" w:rsidRPr="004276D3" w:rsidRDefault="004276D3" w:rsidP="004276D3">
            <w:pPr>
              <w:tabs>
                <w:tab w:val="left" w:pos="3533"/>
              </w:tabs>
              <w:spacing w:line="312" w:lineRule="auto"/>
              <w:jc w:val="center"/>
              <w:rPr>
                <w:rFonts w:cs="Agenda-Bold"/>
                <w:bCs/>
                <w:color w:val="000000"/>
              </w:rPr>
            </w:pPr>
            <w:r w:rsidRPr="004276D3">
              <w:rPr>
                <w:rFonts w:cs="Agenda-Bold"/>
                <w:bCs/>
                <w:color w:val="000000"/>
              </w:rPr>
              <w:t>14</w:t>
            </w:r>
          </w:p>
          <w:p w:rsidR="004276D3" w:rsidRDefault="004276D3" w:rsidP="004276D3">
            <w:pPr>
              <w:tabs>
                <w:tab w:val="left" w:pos="3533"/>
              </w:tabs>
              <w:spacing w:line="312" w:lineRule="auto"/>
              <w:jc w:val="center"/>
              <w:rPr>
                <w:rFonts w:cs="Agenda-Bold"/>
                <w:bCs/>
                <w:color w:val="000000"/>
              </w:rPr>
            </w:pPr>
            <w:r w:rsidRPr="004276D3">
              <w:rPr>
                <w:rFonts w:cs="Agenda-Bold"/>
                <w:bCs/>
                <w:color w:val="000000"/>
              </w:rPr>
              <w:t>30</w:t>
            </w:r>
          </w:p>
          <w:p w:rsidR="004276D3" w:rsidRDefault="004276D3" w:rsidP="004276D3">
            <w:pPr>
              <w:tabs>
                <w:tab w:val="left" w:pos="3533"/>
              </w:tabs>
              <w:spacing w:line="312" w:lineRule="auto"/>
              <w:jc w:val="center"/>
              <w:rPr>
                <w:rFonts w:cs="Agenda-Bold"/>
                <w:bCs/>
                <w:color w:val="000000"/>
              </w:rPr>
            </w:pPr>
            <w:r>
              <w:rPr>
                <w:rFonts w:cs="Agenda-Bold"/>
                <w:bCs/>
                <w:color w:val="000000"/>
              </w:rPr>
              <w:t>47</w:t>
            </w:r>
          </w:p>
          <w:p w:rsidR="004276D3" w:rsidRDefault="004276D3" w:rsidP="004276D3">
            <w:pPr>
              <w:tabs>
                <w:tab w:val="left" w:pos="3533"/>
              </w:tabs>
              <w:spacing w:line="312" w:lineRule="auto"/>
              <w:jc w:val="center"/>
              <w:rPr>
                <w:rFonts w:cs="Agenda-Bold"/>
                <w:bCs/>
                <w:color w:val="000000"/>
              </w:rPr>
            </w:pPr>
            <w:r>
              <w:rPr>
                <w:rFonts w:cs="Agenda-Bold"/>
                <w:bCs/>
                <w:color w:val="000000"/>
              </w:rPr>
              <w:t>65</w:t>
            </w:r>
          </w:p>
          <w:p w:rsidR="004276D3" w:rsidRDefault="004276D3" w:rsidP="004276D3">
            <w:pPr>
              <w:tabs>
                <w:tab w:val="left" w:pos="3533"/>
              </w:tabs>
              <w:spacing w:line="312" w:lineRule="auto"/>
              <w:jc w:val="center"/>
              <w:rPr>
                <w:rFonts w:cs="Agenda-Bold"/>
                <w:bCs/>
                <w:color w:val="000000"/>
              </w:rPr>
            </w:pPr>
            <w:r>
              <w:rPr>
                <w:rFonts w:cs="Agenda-Bold"/>
                <w:bCs/>
                <w:color w:val="000000"/>
              </w:rPr>
              <w:t>80</w:t>
            </w:r>
          </w:p>
          <w:p w:rsidR="004276D3" w:rsidRDefault="004276D3" w:rsidP="004276D3">
            <w:pPr>
              <w:tabs>
                <w:tab w:val="left" w:pos="3533"/>
              </w:tabs>
              <w:spacing w:line="312" w:lineRule="auto"/>
              <w:jc w:val="center"/>
              <w:rPr>
                <w:rFonts w:cs="Agenda-Bold"/>
                <w:bCs/>
                <w:color w:val="000000"/>
              </w:rPr>
            </w:pPr>
            <w:r>
              <w:rPr>
                <w:rFonts w:cs="Agenda-Bold"/>
                <w:bCs/>
                <w:color w:val="000000"/>
              </w:rPr>
              <w:t>98</w:t>
            </w:r>
          </w:p>
          <w:p w:rsidR="004276D3" w:rsidRDefault="004276D3" w:rsidP="004276D3">
            <w:pPr>
              <w:tabs>
                <w:tab w:val="left" w:pos="3533"/>
              </w:tabs>
              <w:spacing w:line="312" w:lineRule="auto"/>
              <w:jc w:val="center"/>
              <w:rPr>
                <w:rFonts w:cs="Agenda-Bold"/>
                <w:bCs/>
                <w:color w:val="000000"/>
              </w:rPr>
            </w:pPr>
            <w:r>
              <w:rPr>
                <w:rFonts w:cs="Agenda-Bold"/>
                <w:bCs/>
                <w:color w:val="000000"/>
              </w:rPr>
              <w:t>102</w:t>
            </w:r>
          </w:p>
          <w:p w:rsidR="004276D3" w:rsidRPr="004276D3" w:rsidRDefault="004276D3" w:rsidP="004276D3">
            <w:pPr>
              <w:tabs>
                <w:tab w:val="left" w:pos="3533"/>
              </w:tabs>
              <w:spacing w:line="312" w:lineRule="auto"/>
              <w:jc w:val="center"/>
              <w:rPr>
                <w:rFonts w:cs="Agenda-Bold"/>
                <w:bCs/>
                <w:color w:val="000000"/>
                <w:sz w:val="16"/>
                <w:szCs w:val="16"/>
              </w:rPr>
            </w:pPr>
          </w:p>
          <w:p w:rsidR="004276D3" w:rsidRDefault="004276D3" w:rsidP="004276D3">
            <w:pPr>
              <w:tabs>
                <w:tab w:val="left" w:pos="3533"/>
              </w:tabs>
              <w:spacing w:line="312" w:lineRule="auto"/>
              <w:jc w:val="center"/>
              <w:rPr>
                <w:rFonts w:cs="Agenda-Bold"/>
                <w:bCs/>
                <w:color w:val="000000"/>
              </w:rPr>
            </w:pPr>
            <w:r>
              <w:rPr>
                <w:rFonts w:cs="Agenda-Bold"/>
                <w:bCs/>
                <w:color w:val="000000"/>
              </w:rPr>
              <w:t>105</w:t>
            </w:r>
          </w:p>
          <w:p w:rsidR="004276D3" w:rsidRDefault="004276D3" w:rsidP="004276D3">
            <w:pPr>
              <w:tabs>
                <w:tab w:val="left" w:pos="3533"/>
              </w:tabs>
              <w:spacing w:line="312" w:lineRule="auto"/>
              <w:jc w:val="center"/>
              <w:rPr>
                <w:rFonts w:cs="Agenda-Bold"/>
                <w:bCs/>
                <w:color w:val="000000"/>
              </w:rPr>
            </w:pPr>
            <w:r>
              <w:rPr>
                <w:rFonts w:cs="Agenda-Bold"/>
                <w:bCs/>
                <w:color w:val="000000"/>
              </w:rPr>
              <w:t>119</w:t>
            </w:r>
          </w:p>
          <w:p w:rsidR="00D31A91" w:rsidRDefault="00D31A91" w:rsidP="004276D3">
            <w:pPr>
              <w:tabs>
                <w:tab w:val="left" w:pos="3533"/>
              </w:tabs>
              <w:spacing w:line="312" w:lineRule="auto"/>
              <w:jc w:val="center"/>
              <w:rPr>
                <w:rFonts w:cs="Agenda-Bold"/>
                <w:bCs/>
                <w:color w:val="000000"/>
              </w:rPr>
            </w:pPr>
            <w:r>
              <w:rPr>
                <w:rFonts w:cs="Agenda-Bold"/>
                <w:bCs/>
                <w:color w:val="000000"/>
              </w:rPr>
              <w:t>133</w:t>
            </w:r>
          </w:p>
          <w:p w:rsidR="00D31A91" w:rsidRPr="00D31A91" w:rsidRDefault="00D31A91" w:rsidP="004276D3">
            <w:pPr>
              <w:tabs>
                <w:tab w:val="left" w:pos="3533"/>
              </w:tabs>
              <w:spacing w:line="312" w:lineRule="auto"/>
              <w:jc w:val="center"/>
              <w:rPr>
                <w:rFonts w:cs="Agenda-Bold"/>
                <w:bCs/>
                <w:color w:val="000000"/>
              </w:rPr>
            </w:pPr>
            <w:r w:rsidRPr="00D31A91">
              <w:rPr>
                <w:rFonts w:cs="Agenda-Bold"/>
                <w:bCs/>
                <w:color w:val="000000"/>
              </w:rPr>
              <w:t>147</w:t>
            </w:r>
          </w:p>
          <w:p w:rsidR="00D31A91" w:rsidRPr="00D31A91" w:rsidRDefault="00D31A91" w:rsidP="004276D3">
            <w:pPr>
              <w:tabs>
                <w:tab w:val="left" w:pos="3533"/>
              </w:tabs>
              <w:spacing w:line="312" w:lineRule="auto"/>
              <w:jc w:val="center"/>
              <w:rPr>
                <w:rFonts w:cs="Agenda-Bold"/>
                <w:bCs/>
                <w:color w:val="000000"/>
              </w:rPr>
            </w:pPr>
            <w:r w:rsidRPr="00D31A91">
              <w:rPr>
                <w:rFonts w:cs="Agenda-Bold"/>
                <w:bCs/>
                <w:color w:val="000000"/>
              </w:rPr>
              <w:t>151</w:t>
            </w:r>
          </w:p>
          <w:p w:rsidR="00D31A91" w:rsidRPr="00D31A91" w:rsidRDefault="00D31A91" w:rsidP="004276D3">
            <w:pPr>
              <w:tabs>
                <w:tab w:val="left" w:pos="3533"/>
              </w:tabs>
              <w:spacing w:line="312" w:lineRule="auto"/>
              <w:jc w:val="center"/>
              <w:rPr>
                <w:rFonts w:cs="Agenda-Bold"/>
                <w:bCs/>
                <w:color w:val="000000"/>
                <w:sz w:val="16"/>
                <w:szCs w:val="16"/>
              </w:rPr>
            </w:pPr>
          </w:p>
          <w:p w:rsidR="00D31A91" w:rsidRDefault="00D31A91" w:rsidP="004276D3">
            <w:pPr>
              <w:tabs>
                <w:tab w:val="left" w:pos="3533"/>
              </w:tabs>
              <w:spacing w:line="312" w:lineRule="auto"/>
              <w:jc w:val="center"/>
              <w:rPr>
                <w:rFonts w:cs="Agenda-Bold"/>
                <w:bCs/>
                <w:color w:val="000000"/>
              </w:rPr>
            </w:pPr>
            <w:r w:rsidRPr="00D31A91">
              <w:rPr>
                <w:rFonts w:cs="Agenda-Bold"/>
                <w:bCs/>
                <w:color w:val="000000"/>
              </w:rPr>
              <w:t>167</w:t>
            </w:r>
          </w:p>
          <w:p w:rsidR="00D31A91" w:rsidRDefault="00D31A91" w:rsidP="004276D3">
            <w:pPr>
              <w:tabs>
                <w:tab w:val="left" w:pos="3533"/>
              </w:tabs>
              <w:spacing w:line="312" w:lineRule="auto"/>
              <w:jc w:val="center"/>
              <w:rPr>
                <w:rFonts w:cs="Agenda-Bold"/>
                <w:bCs/>
                <w:color w:val="000000"/>
              </w:rPr>
            </w:pPr>
            <w:r>
              <w:rPr>
                <w:rFonts w:cs="Agenda-Bold"/>
                <w:bCs/>
                <w:color w:val="000000"/>
              </w:rPr>
              <w:t>185</w:t>
            </w:r>
          </w:p>
          <w:p w:rsidR="00D31A91" w:rsidRDefault="00D31A91" w:rsidP="004276D3">
            <w:pPr>
              <w:tabs>
                <w:tab w:val="left" w:pos="3533"/>
              </w:tabs>
              <w:spacing w:line="312" w:lineRule="auto"/>
              <w:jc w:val="center"/>
              <w:rPr>
                <w:rFonts w:cs="Agenda-Bold"/>
                <w:bCs/>
                <w:color w:val="000000"/>
              </w:rPr>
            </w:pPr>
            <w:r>
              <w:rPr>
                <w:rFonts w:cs="Agenda-Bold"/>
                <w:bCs/>
                <w:color w:val="000000"/>
              </w:rPr>
              <w:t>202</w:t>
            </w:r>
          </w:p>
          <w:p w:rsidR="00D31A91" w:rsidRPr="00D31A91" w:rsidRDefault="00D31A91" w:rsidP="004276D3">
            <w:pPr>
              <w:tabs>
                <w:tab w:val="left" w:pos="3533"/>
              </w:tabs>
              <w:spacing w:line="312" w:lineRule="auto"/>
              <w:jc w:val="center"/>
              <w:rPr>
                <w:rFonts w:cs="Agenda-Bold"/>
                <w:bCs/>
                <w:color w:val="000000"/>
              </w:rPr>
            </w:pPr>
            <w:r w:rsidRPr="00D31A91">
              <w:rPr>
                <w:rFonts w:cs="Agenda-Bold"/>
                <w:bCs/>
                <w:color w:val="000000"/>
              </w:rPr>
              <w:t>220</w:t>
            </w:r>
          </w:p>
          <w:p w:rsidR="00D31A91" w:rsidRPr="00D31A91" w:rsidRDefault="00D31A91" w:rsidP="004276D3">
            <w:pPr>
              <w:tabs>
                <w:tab w:val="left" w:pos="3533"/>
              </w:tabs>
              <w:spacing w:line="312" w:lineRule="auto"/>
              <w:jc w:val="center"/>
              <w:rPr>
                <w:rFonts w:cs="Agenda-Bold"/>
                <w:bCs/>
                <w:color w:val="000000"/>
                <w:sz w:val="16"/>
                <w:szCs w:val="16"/>
              </w:rPr>
            </w:pPr>
          </w:p>
          <w:p w:rsidR="00D31A91" w:rsidRDefault="00D31A91" w:rsidP="004276D3">
            <w:pPr>
              <w:tabs>
                <w:tab w:val="left" w:pos="3533"/>
              </w:tabs>
              <w:spacing w:line="312" w:lineRule="auto"/>
              <w:jc w:val="center"/>
              <w:rPr>
                <w:rFonts w:cs="Agenda-Bold"/>
                <w:bCs/>
                <w:color w:val="000000"/>
              </w:rPr>
            </w:pPr>
            <w:r w:rsidRPr="00D31A91">
              <w:rPr>
                <w:rFonts w:cs="Agenda-Bold"/>
                <w:bCs/>
                <w:color w:val="000000"/>
              </w:rPr>
              <w:t>237</w:t>
            </w:r>
          </w:p>
          <w:p w:rsidR="00D31A91" w:rsidRDefault="00D31A91" w:rsidP="004276D3">
            <w:pPr>
              <w:tabs>
                <w:tab w:val="left" w:pos="3533"/>
              </w:tabs>
              <w:spacing w:line="312" w:lineRule="auto"/>
              <w:jc w:val="center"/>
              <w:rPr>
                <w:rFonts w:cs="Agenda-Bold"/>
                <w:bCs/>
                <w:color w:val="000000"/>
              </w:rPr>
            </w:pPr>
            <w:r>
              <w:rPr>
                <w:rFonts w:cs="Agenda-Bold"/>
                <w:bCs/>
                <w:color w:val="000000"/>
              </w:rPr>
              <w:t>252</w:t>
            </w:r>
          </w:p>
          <w:p w:rsidR="00D31A91" w:rsidRDefault="00D31A91" w:rsidP="004276D3">
            <w:pPr>
              <w:tabs>
                <w:tab w:val="left" w:pos="3533"/>
              </w:tabs>
              <w:spacing w:line="312" w:lineRule="auto"/>
              <w:jc w:val="center"/>
              <w:rPr>
                <w:rFonts w:cs="Agenda-Bold"/>
                <w:bCs/>
                <w:color w:val="000000"/>
              </w:rPr>
            </w:pPr>
            <w:r>
              <w:rPr>
                <w:rFonts w:cs="Agenda-Bold"/>
                <w:bCs/>
                <w:color w:val="000000"/>
              </w:rPr>
              <w:t>265</w:t>
            </w:r>
          </w:p>
          <w:p w:rsidR="00D31A91" w:rsidRDefault="00D31A91" w:rsidP="004276D3">
            <w:pPr>
              <w:tabs>
                <w:tab w:val="left" w:pos="3533"/>
              </w:tabs>
              <w:spacing w:line="312" w:lineRule="auto"/>
              <w:jc w:val="center"/>
              <w:rPr>
                <w:rFonts w:cs="Agenda-Bold"/>
                <w:bCs/>
                <w:color w:val="000000"/>
              </w:rPr>
            </w:pPr>
            <w:r>
              <w:rPr>
                <w:rFonts w:cs="Agenda-Bold"/>
                <w:bCs/>
                <w:color w:val="000000"/>
              </w:rPr>
              <w:t>284</w:t>
            </w:r>
          </w:p>
          <w:p w:rsidR="00D31A91" w:rsidRDefault="00D31A91" w:rsidP="004276D3">
            <w:pPr>
              <w:tabs>
                <w:tab w:val="left" w:pos="3533"/>
              </w:tabs>
              <w:spacing w:line="312" w:lineRule="auto"/>
              <w:jc w:val="center"/>
              <w:rPr>
                <w:rFonts w:cs="Agenda-Bold"/>
                <w:bCs/>
                <w:color w:val="000000"/>
              </w:rPr>
            </w:pPr>
            <w:r>
              <w:rPr>
                <w:rFonts w:cs="Agenda-Bold"/>
                <w:bCs/>
                <w:color w:val="000000"/>
              </w:rPr>
              <w:t>300</w:t>
            </w:r>
          </w:p>
          <w:p w:rsidR="00D31A91" w:rsidRDefault="00D31A91" w:rsidP="004276D3">
            <w:pPr>
              <w:tabs>
                <w:tab w:val="left" w:pos="3533"/>
              </w:tabs>
              <w:spacing w:line="312" w:lineRule="auto"/>
              <w:jc w:val="center"/>
              <w:rPr>
                <w:rFonts w:cs="Agenda-Bold"/>
                <w:bCs/>
                <w:color w:val="000000"/>
              </w:rPr>
            </w:pPr>
            <w:r>
              <w:rPr>
                <w:rFonts w:cs="Agenda-Bold"/>
                <w:bCs/>
                <w:color w:val="000000"/>
              </w:rPr>
              <w:t>304</w:t>
            </w:r>
          </w:p>
          <w:p w:rsidR="00D31A91" w:rsidRPr="00D31A91" w:rsidRDefault="00D31A91" w:rsidP="004276D3">
            <w:pPr>
              <w:tabs>
                <w:tab w:val="left" w:pos="3533"/>
              </w:tabs>
              <w:spacing w:line="312" w:lineRule="auto"/>
              <w:jc w:val="center"/>
              <w:rPr>
                <w:rFonts w:cs="Agenda-Bold"/>
                <w:bCs/>
                <w:color w:val="000000"/>
                <w:sz w:val="16"/>
                <w:szCs w:val="16"/>
              </w:rPr>
            </w:pPr>
          </w:p>
          <w:p w:rsidR="00D31A91" w:rsidRDefault="00D31A91" w:rsidP="004276D3">
            <w:pPr>
              <w:tabs>
                <w:tab w:val="left" w:pos="3533"/>
              </w:tabs>
              <w:spacing w:line="312" w:lineRule="auto"/>
              <w:jc w:val="center"/>
              <w:rPr>
                <w:rFonts w:cs="Agenda-Bold"/>
                <w:bCs/>
                <w:color w:val="000000"/>
              </w:rPr>
            </w:pPr>
            <w:r>
              <w:rPr>
                <w:rFonts w:cs="Agenda-Bold"/>
                <w:bCs/>
                <w:color w:val="000000"/>
              </w:rPr>
              <w:t>321</w:t>
            </w:r>
          </w:p>
          <w:p w:rsidR="00D31A91" w:rsidRDefault="00D31A91" w:rsidP="004276D3">
            <w:pPr>
              <w:tabs>
                <w:tab w:val="left" w:pos="3533"/>
              </w:tabs>
              <w:spacing w:line="312" w:lineRule="auto"/>
              <w:jc w:val="center"/>
              <w:rPr>
                <w:rFonts w:cs="Agenda-Bold"/>
                <w:bCs/>
                <w:color w:val="000000"/>
              </w:rPr>
            </w:pPr>
            <w:r>
              <w:rPr>
                <w:rFonts w:cs="Agenda-Bold"/>
                <w:bCs/>
                <w:color w:val="000000"/>
              </w:rPr>
              <w:t>338</w:t>
            </w:r>
          </w:p>
          <w:p w:rsidR="00D31A91" w:rsidRDefault="00D31A91" w:rsidP="004276D3">
            <w:pPr>
              <w:tabs>
                <w:tab w:val="left" w:pos="3533"/>
              </w:tabs>
              <w:spacing w:line="312" w:lineRule="auto"/>
              <w:jc w:val="center"/>
              <w:rPr>
                <w:rFonts w:cs="Agenda-Bold"/>
                <w:bCs/>
                <w:color w:val="000000"/>
              </w:rPr>
            </w:pPr>
            <w:r>
              <w:rPr>
                <w:rFonts w:cs="Agenda-Bold"/>
                <w:bCs/>
                <w:color w:val="000000"/>
              </w:rPr>
              <w:t>354</w:t>
            </w:r>
          </w:p>
          <w:p w:rsidR="00D31A91" w:rsidRDefault="00D31A91" w:rsidP="004276D3">
            <w:pPr>
              <w:tabs>
                <w:tab w:val="left" w:pos="3533"/>
              </w:tabs>
              <w:spacing w:line="312" w:lineRule="auto"/>
              <w:jc w:val="center"/>
              <w:rPr>
                <w:rFonts w:cs="Agenda-Bold"/>
                <w:bCs/>
                <w:color w:val="000000"/>
              </w:rPr>
            </w:pPr>
            <w:r>
              <w:rPr>
                <w:rFonts w:cs="Agenda-Bold"/>
                <w:bCs/>
                <w:color w:val="000000"/>
              </w:rPr>
              <w:t>370</w:t>
            </w:r>
          </w:p>
          <w:p w:rsidR="00D31A91" w:rsidRDefault="00D31A91" w:rsidP="004276D3">
            <w:pPr>
              <w:tabs>
                <w:tab w:val="left" w:pos="3533"/>
              </w:tabs>
              <w:spacing w:line="312" w:lineRule="auto"/>
              <w:jc w:val="center"/>
              <w:rPr>
                <w:rFonts w:cs="Agenda-Bold"/>
                <w:bCs/>
                <w:color w:val="000000"/>
              </w:rPr>
            </w:pPr>
            <w:r>
              <w:rPr>
                <w:rFonts w:cs="Agenda-Bold"/>
                <w:bCs/>
                <w:color w:val="000000"/>
              </w:rPr>
              <w:t>386</w:t>
            </w:r>
          </w:p>
          <w:p w:rsidR="00D31A91" w:rsidRDefault="00D31A91" w:rsidP="004276D3">
            <w:pPr>
              <w:tabs>
                <w:tab w:val="left" w:pos="3533"/>
              </w:tabs>
              <w:spacing w:line="312" w:lineRule="auto"/>
              <w:jc w:val="center"/>
              <w:rPr>
                <w:rFonts w:cs="Agenda-Bold"/>
                <w:bCs/>
                <w:color w:val="000000"/>
              </w:rPr>
            </w:pPr>
            <w:r>
              <w:rPr>
                <w:rFonts w:cs="Agenda-Bold"/>
                <w:bCs/>
                <w:color w:val="000000"/>
              </w:rPr>
              <w:t>403</w:t>
            </w:r>
          </w:p>
          <w:p w:rsidR="00D31A91" w:rsidRPr="00D16976" w:rsidRDefault="00D16976" w:rsidP="00D16976">
            <w:pPr>
              <w:tabs>
                <w:tab w:val="left" w:pos="3533"/>
              </w:tabs>
              <w:spacing w:line="312" w:lineRule="auto"/>
              <w:jc w:val="center"/>
              <w:rPr>
                <w:rFonts w:cs="Agenda-Bold"/>
                <w:bCs/>
                <w:color w:val="000000"/>
              </w:rPr>
            </w:pPr>
            <w:r>
              <w:rPr>
                <w:rFonts w:cs="Agenda-Bold"/>
                <w:bCs/>
                <w:color w:val="000000"/>
              </w:rPr>
              <w:t>409</w:t>
            </w:r>
          </w:p>
        </w:tc>
      </w:tr>
      <w:tr w:rsidR="00673BC1" w:rsidTr="00673BC1">
        <w:tc>
          <w:tcPr>
            <w:tcW w:w="9738" w:type="dxa"/>
          </w:tcPr>
          <w:p w:rsidR="00673BC1" w:rsidRPr="000B6422" w:rsidRDefault="004276D3" w:rsidP="00673BC1">
            <w:pPr>
              <w:tabs>
                <w:tab w:val="left" w:pos="3533"/>
              </w:tabs>
              <w:rPr>
                <w:rFonts w:ascii="Agenda-Bold" w:hAnsi="Agenda-Bold" w:cs="Agenda-Bold"/>
                <w:bCs/>
                <w:i/>
                <w:color w:val="000000"/>
                <w:sz w:val="20"/>
                <w:szCs w:val="20"/>
              </w:rPr>
            </w:pPr>
            <w:r>
              <w:rPr>
                <w:rFonts w:ascii="Agenda-Bold" w:hAnsi="Agenda-Bold" w:cs="Agenda-Bold"/>
                <w:bCs/>
                <w:i/>
                <w:color w:val="000000"/>
                <w:sz w:val="20"/>
                <w:szCs w:val="20"/>
              </w:rPr>
              <w:t xml:space="preserve">Excerpted from </w:t>
            </w:r>
            <w:r w:rsidR="000E3AF0">
              <w:rPr>
                <w:rFonts w:ascii="Agenda-Bold" w:hAnsi="Agenda-Bold" w:cs="Agenda-Bold"/>
                <w:bCs/>
                <w:color w:val="000000"/>
                <w:sz w:val="20"/>
                <w:szCs w:val="20"/>
              </w:rPr>
              <w:t xml:space="preserve">Jones, L and Jones, G., 2013.Science That Saves Lives. </w:t>
            </w:r>
            <w:r w:rsidR="000B6422">
              <w:rPr>
                <w:rFonts w:ascii="Agenda-Bold" w:hAnsi="Agenda-Bold" w:cs="Agenda-Bold"/>
                <w:bCs/>
                <w:i/>
                <w:color w:val="000000"/>
                <w:sz w:val="20"/>
                <w:szCs w:val="20"/>
              </w:rPr>
              <w:t>The Science Teacher</w:t>
            </w:r>
            <w:r w:rsidR="000E3AF0">
              <w:rPr>
                <w:rFonts w:ascii="Agenda-Bold" w:hAnsi="Agenda-Bold" w:cs="Agenda-Bold"/>
                <w:bCs/>
                <w:i/>
                <w:color w:val="000000"/>
                <w:sz w:val="20"/>
                <w:szCs w:val="20"/>
              </w:rPr>
              <w:t xml:space="preserve">, </w:t>
            </w:r>
            <w:r w:rsidR="005673A3">
              <w:t>80</w:t>
            </w:r>
            <w:r w:rsidR="000E3AF0">
              <w:t>, n</w:t>
            </w:r>
            <w:r w:rsidR="005673A3">
              <w:t xml:space="preserve">o. 1 </w:t>
            </w:r>
          </w:p>
        </w:tc>
        <w:tc>
          <w:tcPr>
            <w:tcW w:w="702" w:type="dxa"/>
          </w:tcPr>
          <w:p w:rsidR="00673BC1" w:rsidRDefault="00673BC1" w:rsidP="00673BC1">
            <w:pPr>
              <w:tabs>
                <w:tab w:val="left" w:pos="3533"/>
              </w:tabs>
              <w:rPr>
                <w:rFonts w:ascii="Agenda-Bold" w:hAnsi="Agenda-Bold" w:cs="Agenda-Bold"/>
                <w:b/>
                <w:bCs/>
                <w:color w:val="000000"/>
              </w:rPr>
            </w:pPr>
          </w:p>
        </w:tc>
      </w:tr>
      <w:tr w:rsidR="004276D3" w:rsidTr="00673BC1">
        <w:tc>
          <w:tcPr>
            <w:tcW w:w="9738" w:type="dxa"/>
          </w:tcPr>
          <w:p w:rsidR="004276D3" w:rsidRPr="000B6422" w:rsidRDefault="004276D3" w:rsidP="004276D3">
            <w:pPr>
              <w:autoSpaceDE w:val="0"/>
              <w:autoSpaceDN w:val="0"/>
              <w:adjustRightInd w:val="0"/>
              <w:rPr>
                <w:rFonts w:cs="Agenda-Bold"/>
                <w:b/>
                <w:bCs/>
                <w:color w:val="C00000"/>
              </w:rPr>
            </w:pPr>
            <w:r w:rsidRPr="000B6422">
              <w:rPr>
                <w:rFonts w:cs="Agenda-Bold"/>
                <w:b/>
                <w:bCs/>
                <w:color w:val="C00000"/>
              </w:rPr>
              <w:t>On the web</w:t>
            </w:r>
          </w:p>
          <w:p w:rsidR="004276D3" w:rsidRPr="004276D3" w:rsidRDefault="004276D3" w:rsidP="004276D3">
            <w:pPr>
              <w:autoSpaceDE w:val="0"/>
              <w:autoSpaceDN w:val="0"/>
              <w:adjustRightInd w:val="0"/>
              <w:rPr>
                <w:rFonts w:cs="GranjonLTStd"/>
                <w:color w:val="000000"/>
                <w:sz w:val="20"/>
                <w:szCs w:val="20"/>
              </w:rPr>
            </w:pPr>
            <w:r w:rsidRPr="004276D3">
              <w:rPr>
                <w:rFonts w:cs="GranjonLTStd"/>
                <w:color w:val="000000"/>
                <w:sz w:val="20"/>
                <w:szCs w:val="20"/>
              </w:rPr>
              <w:t xml:space="preserve">Insurance Institute for Highway Safety videos of frontal offset crash tests: </w:t>
            </w:r>
            <w:r w:rsidRPr="004276D3">
              <w:rPr>
                <w:rFonts w:cs="GranjonLTStd-Italic"/>
                <w:i/>
                <w:iCs/>
                <w:color w:val="000000"/>
                <w:sz w:val="20"/>
                <w:szCs w:val="20"/>
              </w:rPr>
              <w:t>www.iihs.org/ratings/frontal_test_info.html</w:t>
            </w:r>
          </w:p>
          <w:p w:rsidR="004276D3" w:rsidRPr="004276D3" w:rsidRDefault="004276D3" w:rsidP="004276D3">
            <w:pPr>
              <w:autoSpaceDE w:val="0"/>
              <w:autoSpaceDN w:val="0"/>
              <w:adjustRightInd w:val="0"/>
              <w:rPr>
                <w:rFonts w:cs="GranjonLTStd-Italic"/>
                <w:i/>
                <w:iCs/>
                <w:color w:val="000000"/>
                <w:sz w:val="20"/>
                <w:szCs w:val="20"/>
              </w:rPr>
            </w:pPr>
            <w:r w:rsidRPr="004276D3">
              <w:rPr>
                <w:rFonts w:cs="GranjonLTStd"/>
                <w:color w:val="000000"/>
                <w:sz w:val="20"/>
                <w:szCs w:val="20"/>
              </w:rPr>
              <w:t xml:space="preserve">Paper Car Crash Design Challenge instructions: </w:t>
            </w:r>
            <w:hyperlink r:id="rId5" w:history="1">
              <w:r w:rsidRPr="004276D3">
                <w:rPr>
                  <w:rStyle w:val="Hyperlink"/>
                  <w:rFonts w:cs="GranjonLTStd-Italic"/>
                  <w:i/>
                  <w:iCs/>
                  <w:sz w:val="20"/>
                  <w:szCs w:val="20"/>
                </w:rPr>
                <w:t>www.nsta.org/</w:t>
              </w:r>
            </w:hyperlink>
            <w:r w:rsidRPr="004276D3">
              <w:rPr>
                <w:rFonts w:cs="GranjonLTStd-Italic"/>
                <w:i/>
                <w:iCs/>
                <w:color w:val="000000"/>
                <w:sz w:val="20"/>
                <w:szCs w:val="20"/>
              </w:rPr>
              <w:t xml:space="preserve"> </w:t>
            </w:r>
            <w:proofErr w:type="spellStart"/>
            <w:r w:rsidRPr="004276D3">
              <w:rPr>
                <w:rFonts w:cs="GranjonLTStd-Italic"/>
                <w:i/>
                <w:iCs/>
                <w:color w:val="000000"/>
                <w:sz w:val="20"/>
                <w:szCs w:val="20"/>
              </w:rPr>
              <w:t>highschool</w:t>
            </w:r>
            <w:proofErr w:type="spellEnd"/>
            <w:r w:rsidRPr="004276D3">
              <w:rPr>
                <w:rFonts w:cs="GranjonLTStd-Italic"/>
                <w:i/>
                <w:iCs/>
                <w:color w:val="000000"/>
                <w:sz w:val="20"/>
                <w:szCs w:val="20"/>
              </w:rPr>
              <w:t>/connections.aspx</w:t>
            </w:r>
          </w:p>
          <w:p w:rsidR="004276D3" w:rsidRPr="004276D3" w:rsidRDefault="004276D3" w:rsidP="004276D3">
            <w:pPr>
              <w:autoSpaceDE w:val="0"/>
              <w:autoSpaceDN w:val="0"/>
              <w:adjustRightInd w:val="0"/>
              <w:rPr>
                <w:rFonts w:cs="GranjonLTStd-Italic"/>
                <w:i/>
                <w:iCs/>
                <w:color w:val="000000"/>
                <w:sz w:val="20"/>
                <w:szCs w:val="20"/>
              </w:rPr>
            </w:pPr>
            <w:r w:rsidRPr="004276D3">
              <w:rPr>
                <w:rFonts w:cs="GranjonLTStd"/>
                <w:color w:val="000000"/>
                <w:sz w:val="20"/>
                <w:szCs w:val="20"/>
              </w:rPr>
              <w:t xml:space="preserve">Project assessment information: </w:t>
            </w:r>
            <w:hyperlink r:id="rId6" w:history="1">
              <w:r w:rsidRPr="004276D3">
                <w:rPr>
                  <w:rStyle w:val="Hyperlink"/>
                  <w:rFonts w:cs="GranjonLTStd-Italic"/>
                  <w:i/>
                  <w:iCs/>
                  <w:sz w:val="20"/>
                  <w:szCs w:val="20"/>
                </w:rPr>
                <w:t>www.nsta.org/highschool/</w:t>
              </w:r>
            </w:hyperlink>
            <w:r w:rsidRPr="004276D3">
              <w:rPr>
                <w:rFonts w:cs="GranjonLTStd-Italic"/>
                <w:i/>
                <w:iCs/>
                <w:color w:val="000000"/>
                <w:sz w:val="20"/>
                <w:szCs w:val="20"/>
              </w:rPr>
              <w:t xml:space="preserve"> connections.aspx</w:t>
            </w:r>
          </w:p>
          <w:p w:rsidR="004276D3" w:rsidRPr="004276D3" w:rsidRDefault="004276D3" w:rsidP="004276D3">
            <w:pPr>
              <w:autoSpaceDE w:val="0"/>
              <w:autoSpaceDN w:val="0"/>
              <w:adjustRightInd w:val="0"/>
              <w:rPr>
                <w:rFonts w:ascii="GranjonLTStd-Italic" w:hAnsi="GranjonLTStd-Italic" w:cs="GranjonLTStd-Italic"/>
                <w:i/>
                <w:iCs/>
                <w:color w:val="000000"/>
                <w:sz w:val="19"/>
                <w:szCs w:val="19"/>
              </w:rPr>
            </w:pPr>
            <w:r w:rsidRPr="004276D3">
              <w:rPr>
                <w:rFonts w:cs="GranjonLTStd"/>
                <w:color w:val="000000"/>
                <w:sz w:val="20"/>
                <w:szCs w:val="20"/>
              </w:rPr>
              <w:t xml:space="preserve">Web Quest activity worksheet: </w:t>
            </w:r>
            <w:hyperlink r:id="rId7" w:history="1">
              <w:r w:rsidRPr="004276D3">
                <w:rPr>
                  <w:rStyle w:val="Hyperlink"/>
                  <w:rFonts w:cs="GranjonLTStd-Italic"/>
                  <w:i/>
                  <w:iCs/>
                  <w:sz w:val="20"/>
                  <w:szCs w:val="20"/>
                </w:rPr>
                <w:t>www.nsta.org/highschool/</w:t>
              </w:r>
            </w:hyperlink>
            <w:r w:rsidRPr="004276D3">
              <w:rPr>
                <w:rFonts w:cs="GranjonLTStd-Italic"/>
                <w:i/>
                <w:iCs/>
                <w:color w:val="000000"/>
                <w:sz w:val="20"/>
                <w:szCs w:val="20"/>
              </w:rPr>
              <w:t xml:space="preserve"> connections.aspx</w:t>
            </w:r>
          </w:p>
        </w:tc>
        <w:tc>
          <w:tcPr>
            <w:tcW w:w="702" w:type="dxa"/>
          </w:tcPr>
          <w:p w:rsidR="004276D3" w:rsidRDefault="004276D3" w:rsidP="00673BC1">
            <w:pPr>
              <w:tabs>
                <w:tab w:val="left" w:pos="3533"/>
              </w:tabs>
              <w:rPr>
                <w:rFonts w:ascii="Agenda-Bold" w:hAnsi="Agenda-Bold" w:cs="Agenda-Bold"/>
                <w:b/>
                <w:bCs/>
                <w:color w:val="000000"/>
              </w:rPr>
            </w:pPr>
          </w:p>
        </w:tc>
      </w:tr>
    </w:tbl>
    <w:p w:rsidR="00BC7878" w:rsidRDefault="00BC7878" w:rsidP="009358B1">
      <w:pPr>
        <w:tabs>
          <w:tab w:val="left" w:pos="3533"/>
        </w:tabs>
        <w:rPr>
          <w:rFonts w:ascii="Agenda-Bold" w:hAnsi="Agenda-Bold" w:cs="Agenda-Bold"/>
          <w:b/>
          <w:bCs/>
          <w:color w:val="000000"/>
        </w:rPr>
      </w:pPr>
      <w:bookmarkStart w:id="0" w:name="_GoBack"/>
      <w:bookmarkEnd w:id="0"/>
    </w:p>
    <w:sectPr w:rsidR="00BC7878" w:rsidSect="0060377E">
      <w:pgSz w:w="12240" w:h="15840"/>
      <w:pgMar w:top="900" w:right="1008" w:bottom="81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ienLeague">
    <w:panose1 w:val="00000000000000000000"/>
    <w:charset w:val="00"/>
    <w:family w:val="swiss"/>
    <w:notTrueType/>
    <w:pitch w:val="default"/>
    <w:sig w:usb0="00000003" w:usb1="00000000" w:usb2="00000000" w:usb3="00000000" w:csb0="00000001" w:csb1="00000000"/>
  </w:font>
  <w:font w:name="Agenda-Bold">
    <w:panose1 w:val="00000000000000000000"/>
    <w:charset w:val="00"/>
    <w:family w:val="swiss"/>
    <w:notTrueType/>
    <w:pitch w:val="default"/>
    <w:sig w:usb0="00000003" w:usb1="00000000" w:usb2="00000000" w:usb3="00000000" w:csb0="00000001" w:csb1="00000000"/>
  </w:font>
  <w:font w:name="GranjonLTStd">
    <w:panose1 w:val="00000000000000000000"/>
    <w:charset w:val="00"/>
    <w:family w:val="roman"/>
    <w:notTrueType/>
    <w:pitch w:val="default"/>
    <w:sig w:usb0="00000003" w:usb1="00000000" w:usb2="00000000" w:usb3="00000000" w:csb0="00000001" w:csb1="00000000"/>
  </w:font>
  <w:font w:name="GranjonLTStd-Italic">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28"/>
    <w:rsid w:val="000B6422"/>
    <w:rsid w:val="000E3AF0"/>
    <w:rsid w:val="001D2E28"/>
    <w:rsid w:val="004276D3"/>
    <w:rsid w:val="005673A3"/>
    <w:rsid w:val="0060377E"/>
    <w:rsid w:val="00673BC1"/>
    <w:rsid w:val="007E3563"/>
    <w:rsid w:val="008612FD"/>
    <w:rsid w:val="009358B1"/>
    <w:rsid w:val="00BC7878"/>
    <w:rsid w:val="00D16976"/>
    <w:rsid w:val="00D31A91"/>
    <w:rsid w:val="00FB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76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76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ta.org/highschoo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ta.org/highschool/" TargetMode="External"/><Relationship Id="rId5" Type="http://schemas.openxmlformats.org/officeDocument/2006/relationships/hyperlink" Target="http://www.nst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SCodere 611</dc:creator>
  <cp:lastModifiedBy>SCodere 611</cp:lastModifiedBy>
  <cp:revision>2</cp:revision>
  <cp:lastPrinted>2013-01-13T18:44:00Z</cp:lastPrinted>
  <dcterms:created xsi:type="dcterms:W3CDTF">2013-01-23T02:32:00Z</dcterms:created>
  <dcterms:modified xsi:type="dcterms:W3CDTF">2013-01-23T02:32:00Z</dcterms:modified>
</cp:coreProperties>
</file>