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64750" w14:textId="77777777" w:rsidR="009D4E2C" w:rsidRDefault="009D4E2C" w:rsidP="009D4E2C">
      <w:pPr>
        <w:jc w:val="center"/>
        <w:rPr>
          <w:b/>
        </w:rPr>
      </w:pPr>
      <w:r>
        <w:rPr>
          <w:b/>
        </w:rPr>
        <w:t>The Next Chapter</w:t>
      </w:r>
    </w:p>
    <w:p w14:paraId="299ABF20" w14:textId="77777777" w:rsidR="009D4E2C" w:rsidRDefault="009D4E2C" w:rsidP="009D4E2C">
      <w:pPr>
        <w:jc w:val="center"/>
        <w:rPr>
          <w:b/>
        </w:rPr>
      </w:pPr>
      <w:r>
        <w:rPr>
          <w:b/>
        </w:rPr>
        <w:t xml:space="preserve">Session 7:  ALL KINDS OF TALK ALONG THE WAY: </w:t>
      </w:r>
    </w:p>
    <w:p w14:paraId="30A2FA27" w14:textId="77777777" w:rsidR="009D4E2C" w:rsidRDefault="009D4E2C" w:rsidP="009D4E2C">
      <w:pPr>
        <w:jc w:val="center"/>
        <w:rPr>
          <w:b/>
        </w:rPr>
      </w:pPr>
      <w:r>
        <w:rPr>
          <w:b/>
        </w:rPr>
        <w:t>The Power of Oral Language</w:t>
      </w:r>
    </w:p>
    <w:p w14:paraId="7763879A" w14:textId="77777777" w:rsidR="009D4E2C" w:rsidRDefault="009D4E2C" w:rsidP="009D4E2C">
      <w:pPr>
        <w:jc w:val="center"/>
        <w:rPr>
          <w:b/>
          <w:i/>
          <w:color w:val="E36C0A" w:themeColor="accent6" w:themeShade="BF"/>
        </w:rPr>
      </w:pPr>
    </w:p>
    <w:tbl>
      <w:tblPr>
        <w:tblStyle w:val="TableGrid"/>
        <w:tblW w:w="0" w:type="auto"/>
        <w:tblLook w:val="04A0" w:firstRow="1" w:lastRow="0" w:firstColumn="1" w:lastColumn="0" w:noHBand="0" w:noVBand="1"/>
      </w:tblPr>
      <w:tblGrid>
        <w:gridCol w:w="1548"/>
        <w:gridCol w:w="4770"/>
        <w:gridCol w:w="2538"/>
      </w:tblGrid>
      <w:tr w:rsidR="009D4E2C" w14:paraId="6EA517D2" w14:textId="77777777" w:rsidTr="008011F8">
        <w:tc>
          <w:tcPr>
            <w:tcW w:w="1548" w:type="dxa"/>
          </w:tcPr>
          <w:p w14:paraId="40560C31" w14:textId="77777777" w:rsidR="009D4E2C" w:rsidRPr="00C56AFF" w:rsidRDefault="009D4E2C" w:rsidP="008011F8">
            <w:pPr>
              <w:jc w:val="center"/>
              <w:rPr>
                <w:sz w:val="20"/>
                <w:szCs w:val="20"/>
              </w:rPr>
            </w:pPr>
            <w:r>
              <w:rPr>
                <w:sz w:val="20"/>
                <w:szCs w:val="20"/>
              </w:rPr>
              <w:t>Time</w:t>
            </w:r>
          </w:p>
        </w:tc>
        <w:tc>
          <w:tcPr>
            <w:tcW w:w="4770" w:type="dxa"/>
          </w:tcPr>
          <w:p w14:paraId="401E8759" w14:textId="77777777" w:rsidR="009D4E2C" w:rsidRPr="00C56AFF" w:rsidRDefault="009D4E2C" w:rsidP="008011F8">
            <w:pPr>
              <w:jc w:val="center"/>
              <w:rPr>
                <w:sz w:val="20"/>
                <w:szCs w:val="20"/>
              </w:rPr>
            </w:pPr>
            <w:proofErr w:type="gramStart"/>
            <w:r>
              <w:rPr>
                <w:sz w:val="20"/>
                <w:szCs w:val="20"/>
              </w:rPr>
              <w:t>activity</w:t>
            </w:r>
            <w:proofErr w:type="gramEnd"/>
          </w:p>
        </w:tc>
        <w:tc>
          <w:tcPr>
            <w:tcW w:w="2538" w:type="dxa"/>
          </w:tcPr>
          <w:p w14:paraId="6E3B291C" w14:textId="77777777" w:rsidR="009D4E2C" w:rsidRPr="00C56AFF" w:rsidRDefault="009D4E2C" w:rsidP="008011F8">
            <w:pPr>
              <w:jc w:val="center"/>
              <w:rPr>
                <w:sz w:val="20"/>
                <w:szCs w:val="20"/>
              </w:rPr>
            </w:pPr>
            <w:proofErr w:type="gramStart"/>
            <w:r>
              <w:rPr>
                <w:sz w:val="20"/>
                <w:szCs w:val="20"/>
              </w:rPr>
              <w:t>notes</w:t>
            </w:r>
            <w:proofErr w:type="gramEnd"/>
          </w:p>
        </w:tc>
      </w:tr>
      <w:tr w:rsidR="009D4E2C" w14:paraId="684947A9" w14:textId="77777777" w:rsidTr="008011F8">
        <w:tc>
          <w:tcPr>
            <w:tcW w:w="1548" w:type="dxa"/>
          </w:tcPr>
          <w:p w14:paraId="4E8FCED8" w14:textId="66715B4D" w:rsidR="00C0121F" w:rsidRDefault="00C0121F" w:rsidP="00C14390">
            <w:r>
              <w:t>5 minutes</w:t>
            </w:r>
          </w:p>
        </w:tc>
        <w:tc>
          <w:tcPr>
            <w:tcW w:w="4770" w:type="dxa"/>
          </w:tcPr>
          <w:p w14:paraId="7DFF2289" w14:textId="77777777" w:rsidR="009D4E2C" w:rsidRDefault="009D4E2C" w:rsidP="008011F8">
            <w:r>
              <w:t xml:space="preserve">Welcome  </w:t>
            </w:r>
            <w:r w:rsidRPr="00653B0C">
              <w:rPr>
                <w:color w:val="0000FF"/>
              </w:rPr>
              <w:t>(Slide 1)</w:t>
            </w:r>
          </w:p>
          <w:p w14:paraId="28ABB460" w14:textId="40DEF342" w:rsidR="00334027" w:rsidRDefault="00334027" w:rsidP="008011F8">
            <w:r>
              <w:t xml:space="preserve">Checking our roadmap </w:t>
            </w:r>
            <w:r w:rsidRPr="00334027">
              <w:rPr>
                <w:color w:val="0000FF"/>
              </w:rPr>
              <w:t xml:space="preserve">(Slide </w:t>
            </w:r>
            <w:r>
              <w:rPr>
                <w:color w:val="0000FF"/>
              </w:rPr>
              <w:t>2)</w:t>
            </w:r>
          </w:p>
          <w:p w14:paraId="16DBCA62" w14:textId="1BD49F8F" w:rsidR="009D4E2C" w:rsidRDefault="008B4A06" w:rsidP="00097589">
            <w:r>
              <w:t>Goals for Session 7</w:t>
            </w:r>
            <w:r w:rsidR="009D4E2C">
              <w:t xml:space="preserve"> </w:t>
            </w:r>
            <w:r w:rsidR="009D4E2C" w:rsidRPr="009C04AD">
              <w:rPr>
                <w:color w:val="0000FF"/>
              </w:rPr>
              <w:t>(Slide 3</w:t>
            </w:r>
            <w:r w:rsidR="009D4E2C">
              <w:rPr>
                <w:color w:val="0000FF"/>
              </w:rPr>
              <w:t xml:space="preserve">) </w:t>
            </w:r>
          </w:p>
        </w:tc>
        <w:tc>
          <w:tcPr>
            <w:tcW w:w="2538" w:type="dxa"/>
          </w:tcPr>
          <w:p w14:paraId="7353EBD2" w14:textId="77777777" w:rsidR="009D4E2C" w:rsidRDefault="009D4E2C" w:rsidP="008011F8"/>
          <w:p w14:paraId="758AC8E1" w14:textId="25C88339" w:rsidR="009D4E2C" w:rsidRPr="007D2A38" w:rsidRDefault="009D4E2C" w:rsidP="008011F8">
            <w:pPr>
              <w:rPr>
                <w:b/>
                <w:color w:val="008000"/>
              </w:rPr>
            </w:pPr>
          </w:p>
        </w:tc>
      </w:tr>
      <w:tr w:rsidR="009D4E2C" w14:paraId="17C0ECCE" w14:textId="77777777" w:rsidTr="008011F8">
        <w:tc>
          <w:tcPr>
            <w:tcW w:w="1548" w:type="dxa"/>
          </w:tcPr>
          <w:p w14:paraId="5E4F1C33" w14:textId="60829611" w:rsidR="00C0121F" w:rsidRDefault="00C0121F" w:rsidP="008011F8">
            <w:r>
              <w:t>15 minutes</w:t>
            </w:r>
          </w:p>
        </w:tc>
        <w:tc>
          <w:tcPr>
            <w:tcW w:w="4770" w:type="dxa"/>
          </w:tcPr>
          <w:p w14:paraId="1BF9A965" w14:textId="77777777" w:rsidR="009D4E2C" w:rsidRDefault="009D4E2C" w:rsidP="008011F8">
            <w:r>
              <w:t>Your turn:  time to discuss the assignment from session 6.</w:t>
            </w:r>
            <w:r w:rsidR="008011F8">
              <w:t xml:space="preserve"> </w:t>
            </w:r>
            <w:r w:rsidR="008011F8" w:rsidRPr="008011F8">
              <w:rPr>
                <w:color w:val="0000FF"/>
              </w:rPr>
              <w:t>(Slide 4)</w:t>
            </w:r>
          </w:p>
        </w:tc>
        <w:tc>
          <w:tcPr>
            <w:tcW w:w="2538" w:type="dxa"/>
          </w:tcPr>
          <w:p w14:paraId="53E44B80" w14:textId="77777777" w:rsidR="009D4E2C" w:rsidRDefault="009D4E2C" w:rsidP="008011F8"/>
          <w:p w14:paraId="78315619" w14:textId="185EEAEA" w:rsidR="009D4E2C" w:rsidRPr="00F3635A" w:rsidRDefault="009D4E2C" w:rsidP="008011F8">
            <w:pPr>
              <w:rPr>
                <w:b/>
                <w:color w:val="008000"/>
              </w:rPr>
            </w:pPr>
          </w:p>
        </w:tc>
      </w:tr>
      <w:tr w:rsidR="009D4E2C" w14:paraId="1465658B" w14:textId="77777777" w:rsidTr="008011F8">
        <w:tc>
          <w:tcPr>
            <w:tcW w:w="1548" w:type="dxa"/>
          </w:tcPr>
          <w:p w14:paraId="5F4947B7" w14:textId="551A3C14" w:rsidR="00C0121F" w:rsidRDefault="00C0121F" w:rsidP="008011F8">
            <w:r>
              <w:t>25 minutes</w:t>
            </w:r>
          </w:p>
        </w:tc>
        <w:tc>
          <w:tcPr>
            <w:tcW w:w="4770" w:type="dxa"/>
          </w:tcPr>
          <w:p w14:paraId="2D21D05B" w14:textId="77777777" w:rsidR="00C0121F" w:rsidRDefault="00C14390" w:rsidP="008011F8">
            <w:r>
              <w:t>Listen to The Moth – Stephanie Summerville:  An Indomitable Spirit</w:t>
            </w:r>
            <w:r w:rsidR="008B4A06">
              <w:t xml:space="preserve"> </w:t>
            </w:r>
            <w:r w:rsidR="008B4A06" w:rsidRPr="008B4A06">
              <w:rPr>
                <w:color w:val="0000FF"/>
              </w:rPr>
              <w:t>(Slide 5)</w:t>
            </w:r>
            <w:r>
              <w:rPr>
                <w:color w:val="0000FF"/>
              </w:rPr>
              <w:t xml:space="preserve"> </w:t>
            </w:r>
            <w:r w:rsidR="00C0121F" w:rsidRPr="00C0121F">
              <w:t>Participants may take notes if they want, but the goal is just to listen</w:t>
            </w:r>
            <w:r w:rsidR="00C0121F">
              <w:rPr>
                <w:color w:val="0000FF"/>
              </w:rPr>
              <w:t xml:space="preserve">.  </w:t>
            </w:r>
          </w:p>
          <w:p w14:paraId="25972B5B" w14:textId="74F72BE4" w:rsidR="009D4E2C" w:rsidRDefault="00C0121F" w:rsidP="008011F8">
            <w:pPr>
              <w:rPr>
                <w:color w:val="0000FF"/>
              </w:rPr>
            </w:pPr>
            <w:r>
              <w:t xml:space="preserve">When finished, have the participants do </w:t>
            </w:r>
            <w:proofErr w:type="gramStart"/>
            <w:r>
              <w:t xml:space="preserve">a </w:t>
            </w:r>
            <w:r w:rsidR="00C14390" w:rsidRPr="00C14390">
              <w:t xml:space="preserve"> Quick</w:t>
            </w:r>
            <w:proofErr w:type="gramEnd"/>
            <w:r w:rsidR="00C14390" w:rsidRPr="00C14390">
              <w:t xml:space="preserve"> Write</w:t>
            </w:r>
            <w:r w:rsidR="00C14390">
              <w:rPr>
                <w:color w:val="0000FF"/>
              </w:rPr>
              <w:t xml:space="preserve"> (Slide 6)</w:t>
            </w:r>
          </w:p>
          <w:p w14:paraId="1951301E" w14:textId="7D038E9D" w:rsidR="00A27574" w:rsidRPr="005E2AAA" w:rsidRDefault="00964811" w:rsidP="008011F8">
            <w:hyperlink r:id="rId6" w:history="1">
              <w:r w:rsidR="00A27574" w:rsidRPr="001604E7">
                <w:rPr>
                  <w:rStyle w:val="Hyperlink"/>
                </w:rPr>
                <w:t>http://themoth.org/posts/stories/an-indomitable-spirit</w:t>
              </w:r>
            </w:hyperlink>
            <w:r w:rsidR="00A27574">
              <w:t xml:space="preserve"> </w:t>
            </w:r>
          </w:p>
        </w:tc>
        <w:tc>
          <w:tcPr>
            <w:tcW w:w="2538" w:type="dxa"/>
          </w:tcPr>
          <w:p w14:paraId="5AAFB34F" w14:textId="77777777" w:rsidR="009D4E2C" w:rsidRDefault="009D4E2C" w:rsidP="008011F8">
            <w:pPr>
              <w:rPr>
                <w:b/>
                <w:color w:val="008000"/>
              </w:rPr>
            </w:pPr>
          </w:p>
          <w:p w14:paraId="217EB152" w14:textId="6A7FA062" w:rsidR="009D4E2C" w:rsidRPr="00D16B0F" w:rsidRDefault="009D4E2C" w:rsidP="008011F8">
            <w:pPr>
              <w:rPr>
                <w:b/>
                <w:color w:val="008000"/>
              </w:rPr>
            </w:pPr>
          </w:p>
        </w:tc>
      </w:tr>
      <w:tr w:rsidR="009D4E2C" w14:paraId="76BA8AE2" w14:textId="77777777" w:rsidTr="008011F8">
        <w:tc>
          <w:tcPr>
            <w:tcW w:w="1548" w:type="dxa"/>
          </w:tcPr>
          <w:p w14:paraId="10F5354E" w14:textId="482C94E2" w:rsidR="00C0121F" w:rsidRDefault="00C0121F" w:rsidP="00C14390">
            <w:r>
              <w:t>10 minutes</w:t>
            </w:r>
          </w:p>
        </w:tc>
        <w:tc>
          <w:tcPr>
            <w:tcW w:w="4770" w:type="dxa"/>
          </w:tcPr>
          <w:p w14:paraId="2A0AA078" w14:textId="24358913" w:rsidR="009D4E2C" w:rsidRDefault="009D4E2C" w:rsidP="008011F8">
            <w:r>
              <w:t xml:space="preserve"> </w:t>
            </w:r>
            <w:r w:rsidR="00F27713">
              <w:t xml:space="preserve">Definition, </w:t>
            </w:r>
            <w:r w:rsidR="00273B37">
              <w:t>Rationale</w:t>
            </w:r>
            <w:r w:rsidR="00F27713">
              <w:t xml:space="preserve">, and </w:t>
            </w:r>
            <w:proofErr w:type="spellStart"/>
            <w:r w:rsidR="00F27713">
              <w:t>And</w:t>
            </w:r>
            <w:proofErr w:type="spellEnd"/>
            <w:r w:rsidR="00F27713">
              <w:t xml:space="preserve"> Furthermore…</w:t>
            </w:r>
            <w:r w:rsidR="00273B37">
              <w:t xml:space="preserve"> </w:t>
            </w:r>
            <w:r w:rsidR="00C14390">
              <w:rPr>
                <w:color w:val="0000FF"/>
              </w:rPr>
              <w:t>(Slide</w:t>
            </w:r>
            <w:r w:rsidR="00F27713">
              <w:rPr>
                <w:color w:val="0000FF"/>
              </w:rPr>
              <w:t>s</w:t>
            </w:r>
            <w:r w:rsidR="00C14390">
              <w:rPr>
                <w:color w:val="0000FF"/>
              </w:rPr>
              <w:t xml:space="preserve"> </w:t>
            </w:r>
            <w:r w:rsidR="008B4A06">
              <w:rPr>
                <w:color w:val="0000FF"/>
              </w:rPr>
              <w:t>7</w:t>
            </w:r>
            <w:r w:rsidR="00F27713">
              <w:rPr>
                <w:color w:val="0000FF"/>
              </w:rPr>
              <w:t>-9</w:t>
            </w:r>
            <w:r w:rsidR="00273B37" w:rsidRPr="00273B37">
              <w:rPr>
                <w:color w:val="0000FF"/>
              </w:rPr>
              <w:t>)</w:t>
            </w:r>
          </w:p>
          <w:p w14:paraId="74BAD8BB" w14:textId="73F2A85F" w:rsidR="00273B37" w:rsidRPr="005907CC" w:rsidRDefault="00273B37" w:rsidP="00D86EE8">
            <w:r>
              <w:t>Read through the t</w:t>
            </w:r>
            <w:r w:rsidR="00D86EE8">
              <w:t>hree</w:t>
            </w:r>
            <w:r>
              <w:t xml:space="preserve"> slides and have a brief discussion.  This may seem obvious, but there is renewed emphasis on the bigger picture of oral </w:t>
            </w:r>
            <w:proofErr w:type="gramStart"/>
            <w:r>
              <w:t>language</w:t>
            </w:r>
            <w:proofErr w:type="gramEnd"/>
            <w:r>
              <w:t xml:space="preserve"> as we better understand its role in comprehension.</w:t>
            </w:r>
          </w:p>
        </w:tc>
        <w:tc>
          <w:tcPr>
            <w:tcW w:w="2538" w:type="dxa"/>
          </w:tcPr>
          <w:p w14:paraId="3F198687" w14:textId="77777777" w:rsidR="009D4E2C" w:rsidRDefault="009D4E2C" w:rsidP="008011F8">
            <w:pPr>
              <w:rPr>
                <w:b/>
                <w:color w:val="008000"/>
              </w:rPr>
            </w:pPr>
          </w:p>
          <w:p w14:paraId="514AC7FA" w14:textId="77777777" w:rsidR="009D4E2C" w:rsidRDefault="009D4E2C" w:rsidP="008011F8">
            <w:pPr>
              <w:rPr>
                <w:b/>
                <w:color w:val="008000"/>
              </w:rPr>
            </w:pPr>
          </w:p>
          <w:p w14:paraId="3CE6A0FB" w14:textId="495BCE27" w:rsidR="009D4E2C" w:rsidRDefault="009D4E2C" w:rsidP="008011F8">
            <w:pPr>
              <w:rPr>
                <w:b/>
                <w:color w:val="008000"/>
              </w:rPr>
            </w:pPr>
          </w:p>
        </w:tc>
      </w:tr>
      <w:tr w:rsidR="009D4E2C" w14:paraId="3D095F03" w14:textId="77777777" w:rsidTr="008011F8">
        <w:tc>
          <w:tcPr>
            <w:tcW w:w="1548" w:type="dxa"/>
          </w:tcPr>
          <w:p w14:paraId="6D6EE7CD" w14:textId="612F7453" w:rsidR="005D4259" w:rsidRDefault="005D4259" w:rsidP="008011F8">
            <w:r>
              <w:t>15 minutes</w:t>
            </w:r>
          </w:p>
        </w:tc>
        <w:tc>
          <w:tcPr>
            <w:tcW w:w="4770" w:type="dxa"/>
          </w:tcPr>
          <w:p w14:paraId="52BF8C4C" w14:textId="074389A4" w:rsidR="009D4E2C" w:rsidRDefault="00273B37" w:rsidP="008011F8">
            <w:r>
              <w:t xml:space="preserve">We need to take one </w:t>
            </w:r>
            <w:proofErr w:type="gramStart"/>
            <w:r>
              <w:t>more quick</w:t>
            </w:r>
            <w:proofErr w:type="gramEnd"/>
            <w:r>
              <w:t xml:space="preserve"> look at the Speaking &amp; Listening Standards.  </w:t>
            </w:r>
            <w:r w:rsidR="00D86EE8">
              <w:rPr>
                <w:color w:val="0000FF"/>
              </w:rPr>
              <w:t>(Slide 10</w:t>
            </w:r>
            <w:r w:rsidRPr="00273B37">
              <w:rPr>
                <w:color w:val="0000FF"/>
              </w:rPr>
              <w:t>)</w:t>
            </w:r>
            <w:r w:rsidR="00AE1318">
              <w:rPr>
                <w:color w:val="0000FF"/>
              </w:rPr>
              <w:t xml:space="preserve">  </w:t>
            </w:r>
            <w:r w:rsidR="00AE1318" w:rsidRPr="00AE1318">
              <w:rPr>
                <w:color w:val="FF0000"/>
              </w:rPr>
              <w:t>HANDOUT</w:t>
            </w:r>
            <w:r>
              <w:t xml:space="preserve"> Use a highlighter to highlight the key words in each standard for your grade.  (Participants will have 7 minutes to do this part.) What do you notice?  Discuss around the room.</w:t>
            </w:r>
          </w:p>
          <w:p w14:paraId="19761DF2" w14:textId="77777777" w:rsidR="00273B37" w:rsidRPr="00273B37" w:rsidRDefault="00273B37" w:rsidP="008011F8">
            <w:r>
              <w:t xml:space="preserve">This idea that oral language forms the foundation for comprehension is not new, but has gotten much more attention and </w:t>
            </w:r>
            <w:r w:rsidR="00AE1318">
              <w:t>research in the past five years.  The standards really highlight how critical speaking and listening are and yet these are the standards that get the least amount of attention and direct instruction.</w:t>
            </w:r>
          </w:p>
        </w:tc>
        <w:tc>
          <w:tcPr>
            <w:tcW w:w="2538" w:type="dxa"/>
          </w:tcPr>
          <w:p w14:paraId="63679AB0" w14:textId="77777777" w:rsidR="009D4E2C" w:rsidRDefault="009D4E2C" w:rsidP="008011F8">
            <w:pPr>
              <w:rPr>
                <w:b/>
                <w:color w:val="008000"/>
              </w:rPr>
            </w:pPr>
          </w:p>
          <w:p w14:paraId="18A6409C" w14:textId="1457DF25" w:rsidR="009D4E2C" w:rsidRDefault="009D4E2C" w:rsidP="008011F8">
            <w:pPr>
              <w:rPr>
                <w:b/>
                <w:color w:val="008000"/>
              </w:rPr>
            </w:pPr>
          </w:p>
        </w:tc>
      </w:tr>
      <w:tr w:rsidR="00AE1318" w14:paraId="1EA7483A" w14:textId="77777777" w:rsidTr="008011F8">
        <w:tc>
          <w:tcPr>
            <w:tcW w:w="1548" w:type="dxa"/>
          </w:tcPr>
          <w:p w14:paraId="2B8ED4BA" w14:textId="679AEE2E" w:rsidR="005D4259" w:rsidRDefault="005D4259" w:rsidP="00C14390">
            <w:r>
              <w:t>10 minutes</w:t>
            </w:r>
          </w:p>
        </w:tc>
        <w:tc>
          <w:tcPr>
            <w:tcW w:w="4770" w:type="dxa"/>
          </w:tcPr>
          <w:p w14:paraId="1AFE6708" w14:textId="48325C8A" w:rsidR="008B4A06" w:rsidRDefault="00AE1318" w:rsidP="008011F8">
            <w:r>
              <w:t xml:space="preserve">What </w:t>
            </w:r>
            <w:r w:rsidR="00D86EE8">
              <w:t>is Oral Language?</w:t>
            </w:r>
          </w:p>
          <w:p w14:paraId="62576731" w14:textId="74C327E4" w:rsidR="00AE1318" w:rsidRDefault="008B4A06" w:rsidP="008011F8">
            <w:pPr>
              <w:rPr>
                <w:color w:val="0000FF"/>
              </w:rPr>
            </w:pPr>
            <w:proofErr w:type="spellStart"/>
            <w:r>
              <w:t>Frayer’s</w:t>
            </w:r>
            <w:proofErr w:type="spellEnd"/>
            <w:r>
              <w:t xml:space="preserve"> Model-what it IS</w:t>
            </w:r>
            <w:r w:rsidR="00AE1318">
              <w:t xml:space="preserve">  </w:t>
            </w:r>
            <w:r w:rsidR="00D86EE8">
              <w:rPr>
                <w:color w:val="0000FF"/>
              </w:rPr>
              <w:t>(Slides 11-12</w:t>
            </w:r>
            <w:r w:rsidR="00AE1318" w:rsidRPr="00DF0911">
              <w:rPr>
                <w:color w:val="0000FF"/>
              </w:rPr>
              <w:t>)</w:t>
            </w:r>
          </w:p>
          <w:p w14:paraId="09322C18" w14:textId="52080BB9" w:rsidR="008B4A06" w:rsidRDefault="008B4A06" w:rsidP="008011F8">
            <w:pPr>
              <w:rPr>
                <w:color w:val="0000FF"/>
              </w:rPr>
            </w:pPr>
            <w:r w:rsidRPr="00624C26">
              <w:t>Don’t forget GRR</w:t>
            </w:r>
            <w:r w:rsidR="00D86EE8">
              <w:rPr>
                <w:color w:val="0000FF"/>
              </w:rPr>
              <w:t xml:space="preserve"> (Slide 13</w:t>
            </w:r>
            <w:r>
              <w:rPr>
                <w:color w:val="0000FF"/>
              </w:rPr>
              <w:t>)</w:t>
            </w:r>
          </w:p>
          <w:p w14:paraId="2183A6DC" w14:textId="0E638D23" w:rsidR="00624C26" w:rsidRDefault="00624C26" w:rsidP="008011F8">
            <w:r>
              <w:t xml:space="preserve">What it is NOT </w:t>
            </w:r>
            <w:r w:rsidR="00D86EE8">
              <w:rPr>
                <w:color w:val="0000FF"/>
              </w:rPr>
              <w:t>(Slide 14</w:t>
            </w:r>
            <w:r w:rsidRPr="00624C26">
              <w:rPr>
                <w:color w:val="0000FF"/>
              </w:rPr>
              <w:t>)</w:t>
            </w:r>
          </w:p>
        </w:tc>
        <w:tc>
          <w:tcPr>
            <w:tcW w:w="2538" w:type="dxa"/>
          </w:tcPr>
          <w:p w14:paraId="52A4FDBE" w14:textId="748E7867" w:rsidR="00AE1318" w:rsidRDefault="00AE1318" w:rsidP="008011F8">
            <w:pPr>
              <w:rPr>
                <w:b/>
                <w:color w:val="008000"/>
              </w:rPr>
            </w:pPr>
          </w:p>
        </w:tc>
      </w:tr>
      <w:tr w:rsidR="00AE1318" w14:paraId="31080E0D" w14:textId="77777777" w:rsidTr="008011F8">
        <w:tc>
          <w:tcPr>
            <w:tcW w:w="1548" w:type="dxa"/>
          </w:tcPr>
          <w:p w14:paraId="128AA99F" w14:textId="7174F559" w:rsidR="005D4259" w:rsidRDefault="005D4259" w:rsidP="00377C3A">
            <w:r>
              <w:t>30 minutes</w:t>
            </w:r>
          </w:p>
        </w:tc>
        <w:tc>
          <w:tcPr>
            <w:tcW w:w="4770" w:type="dxa"/>
          </w:tcPr>
          <w:p w14:paraId="5D535B3F" w14:textId="61E056A7" w:rsidR="00D86EE8" w:rsidRDefault="00D86EE8" w:rsidP="008011F8">
            <w:r>
              <w:t xml:space="preserve">How do you use oral language? </w:t>
            </w:r>
            <w:r w:rsidRPr="00D86EE8">
              <w:rPr>
                <w:color w:val="0000FF"/>
              </w:rPr>
              <w:t>(Slide 15)</w:t>
            </w:r>
          </w:p>
          <w:p w14:paraId="49DDB86A" w14:textId="76692B8B" w:rsidR="00377C3A" w:rsidRDefault="00377C3A" w:rsidP="008011F8">
            <w:r>
              <w:t xml:space="preserve">Reasons to Converse in School </w:t>
            </w:r>
            <w:r w:rsidRPr="00D86EE8">
              <w:rPr>
                <w:color w:val="FF0000"/>
              </w:rPr>
              <w:t>HANDOUT</w:t>
            </w:r>
          </w:p>
          <w:p w14:paraId="3295CC04" w14:textId="77777777" w:rsidR="00377C3A" w:rsidRDefault="00377C3A" w:rsidP="00377C3A">
            <w:r>
              <w:t xml:space="preserve">Participants will choose 2 reasons from the front, and 2 from the back, naming the </w:t>
            </w:r>
            <w:r>
              <w:lastRenderedPageBreak/>
              <w:t>specific times when you use oral language to build that particular reason.  Give them an example:  “Build Literacy Skills”: having students tell the story across their fingers for writing.</w:t>
            </w:r>
          </w:p>
          <w:p w14:paraId="0546AC0A" w14:textId="3BB85C65" w:rsidR="00377C3A" w:rsidRPr="003F5136" w:rsidRDefault="00377C3A" w:rsidP="00377C3A">
            <w:r>
              <w:t>8 minutes to do this part.  Then share at tables (2 minute quick share).  Put the document up on the projector and type into the document, listing their answers.</w:t>
            </w:r>
            <w:r w:rsidR="00D86EE8">
              <w:t xml:space="preserve"> (10 minutes)</w:t>
            </w:r>
          </w:p>
        </w:tc>
        <w:tc>
          <w:tcPr>
            <w:tcW w:w="2538" w:type="dxa"/>
          </w:tcPr>
          <w:p w14:paraId="0342B435" w14:textId="3DB03D9E" w:rsidR="00AE1318" w:rsidRDefault="00AE1318" w:rsidP="008011F8">
            <w:pPr>
              <w:rPr>
                <w:b/>
                <w:color w:val="008000"/>
              </w:rPr>
            </w:pPr>
          </w:p>
        </w:tc>
      </w:tr>
      <w:tr w:rsidR="00AE1318" w14:paraId="755363FF" w14:textId="77777777" w:rsidTr="008011F8">
        <w:tc>
          <w:tcPr>
            <w:tcW w:w="1548" w:type="dxa"/>
          </w:tcPr>
          <w:p w14:paraId="1D0FD66E" w14:textId="1D42A718" w:rsidR="005D4259" w:rsidRDefault="005D4259" w:rsidP="008011F8">
            <w:r>
              <w:lastRenderedPageBreak/>
              <w:t>15 minutes</w:t>
            </w:r>
          </w:p>
        </w:tc>
        <w:tc>
          <w:tcPr>
            <w:tcW w:w="4770" w:type="dxa"/>
          </w:tcPr>
          <w:p w14:paraId="03A1EBF1" w14:textId="4F185D7A" w:rsidR="00AE1318" w:rsidRDefault="00EC4748" w:rsidP="008011F8">
            <w:r>
              <w:t>BREAK</w:t>
            </w:r>
          </w:p>
        </w:tc>
        <w:tc>
          <w:tcPr>
            <w:tcW w:w="2538" w:type="dxa"/>
          </w:tcPr>
          <w:p w14:paraId="75E535F1" w14:textId="77777777" w:rsidR="00AE1318" w:rsidRDefault="00AE1318" w:rsidP="008011F8">
            <w:pPr>
              <w:rPr>
                <w:b/>
                <w:color w:val="008000"/>
              </w:rPr>
            </w:pPr>
          </w:p>
        </w:tc>
      </w:tr>
      <w:tr w:rsidR="00D86EE8" w14:paraId="0A48A448" w14:textId="77777777" w:rsidTr="008011F8">
        <w:tc>
          <w:tcPr>
            <w:tcW w:w="1548" w:type="dxa"/>
          </w:tcPr>
          <w:p w14:paraId="65CCB33A" w14:textId="22D10BDF" w:rsidR="005D4259" w:rsidRDefault="005D4259" w:rsidP="008011F8">
            <w:r>
              <w:t>10 minutes</w:t>
            </w:r>
          </w:p>
        </w:tc>
        <w:tc>
          <w:tcPr>
            <w:tcW w:w="4770" w:type="dxa"/>
          </w:tcPr>
          <w:p w14:paraId="23075C92" w14:textId="77777777" w:rsidR="00D86EE8" w:rsidRDefault="00D86EE8" w:rsidP="00D86EE8">
            <w:r>
              <w:t xml:space="preserve">Teaching Oral Language Skills Explicitly </w:t>
            </w:r>
            <w:r w:rsidRPr="00D86EE8">
              <w:rPr>
                <w:color w:val="0000FF"/>
              </w:rPr>
              <w:t>(Slide 16)</w:t>
            </w:r>
          </w:p>
          <w:p w14:paraId="1A4D610E" w14:textId="77777777" w:rsidR="00D86EE8" w:rsidRDefault="00D86EE8" w:rsidP="008011F8">
            <w:pPr>
              <w:rPr>
                <w:color w:val="0000FF"/>
              </w:rPr>
            </w:pPr>
            <w:r>
              <w:t xml:space="preserve">The Importance of Retelling </w:t>
            </w:r>
            <w:r w:rsidRPr="00D86EE8">
              <w:rPr>
                <w:color w:val="0000FF"/>
              </w:rPr>
              <w:t>(Slides 17-18)</w:t>
            </w:r>
          </w:p>
          <w:p w14:paraId="401EA919" w14:textId="77777777" w:rsidR="00D86EE8" w:rsidRDefault="00D86EE8" w:rsidP="008011F8">
            <w:r w:rsidRPr="00D86EE8">
              <w:t xml:space="preserve">A quick look at </w:t>
            </w:r>
            <w:proofErr w:type="spellStart"/>
            <w:r w:rsidRPr="00D86EE8">
              <w:t>Sulzby’s</w:t>
            </w:r>
            <w:proofErr w:type="spellEnd"/>
            <w:r w:rsidRPr="00D86EE8">
              <w:t xml:space="preserve"> Storybook Reading Scheme </w:t>
            </w:r>
            <w:r>
              <w:t xml:space="preserve"> </w:t>
            </w:r>
            <w:r w:rsidRPr="00D86EE8">
              <w:rPr>
                <w:color w:val="0000FF"/>
              </w:rPr>
              <w:t>(Slides 19 – 20)</w:t>
            </w:r>
          </w:p>
          <w:p w14:paraId="37B8B480" w14:textId="77777777" w:rsidR="00D86EE8" w:rsidRDefault="00D86EE8" w:rsidP="008011F8">
            <w:r>
              <w:t xml:space="preserve">Refer to the </w:t>
            </w:r>
            <w:r w:rsidRPr="00D86EE8">
              <w:rPr>
                <w:color w:val="FF0000"/>
              </w:rPr>
              <w:t>HANDOUTS</w:t>
            </w:r>
            <w:r>
              <w:t xml:space="preserve"> but don’t spend lots of time here.</w:t>
            </w:r>
          </w:p>
          <w:p w14:paraId="790495CD" w14:textId="76050E12" w:rsidR="00D86EE8" w:rsidRPr="00D86EE8" w:rsidRDefault="00D86EE8" w:rsidP="008011F8">
            <w:r>
              <w:t xml:space="preserve">What if their own stories became mentor texts?  </w:t>
            </w:r>
            <w:r w:rsidRPr="00D86EE8">
              <w:rPr>
                <w:color w:val="0000FF"/>
              </w:rPr>
              <w:t>(Slide 21)</w:t>
            </w:r>
          </w:p>
        </w:tc>
        <w:tc>
          <w:tcPr>
            <w:tcW w:w="2538" w:type="dxa"/>
          </w:tcPr>
          <w:p w14:paraId="3FF3E297" w14:textId="2EF552E4" w:rsidR="00D86EE8" w:rsidRDefault="00D86EE8" w:rsidP="008011F8">
            <w:pPr>
              <w:rPr>
                <w:b/>
                <w:color w:val="008000"/>
              </w:rPr>
            </w:pPr>
          </w:p>
        </w:tc>
      </w:tr>
      <w:tr w:rsidR="00EC4748" w14:paraId="477948CE" w14:textId="77777777" w:rsidTr="008011F8">
        <w:tc>
          <w:tcPr>
            <w:tcW w:w="1548" w:type="dxa"/>
          </w:tcPr>
          <w:p w14:paraId="760E6E4F" w14:textId="7CE99C18" w:rsidR="005D4259" w:rsidRDefault="00CC2153" w:rsidP="008011F8">
            <w:r>
              <w:t>3</w:t>
            </w:r>
            <w:r w:rsidR="005D4259">
              <w:t>0 minutes</w:t>
            </w:r>
          </w:p>
        </w:tc>
        <w:tc>
          <w:tcPr>
            <w:tcW w:w="4770" w:type="dxa"/>
          </w:tcPr>
          <w:p w14:paraId="3AF9C2F9" w14:textId="5D154B7A" w:rsidR="00D86EE8" w:rsidRDefault="00D86EE8" w:rsidP="008011F8">
            <w:r>
              <w:t xml:space="preserve">Lester </w:t>
            </w:r>
            <w:proofErr w:type="spellStart"/>
            <w:r>
              <w:t>Laminack</w:t>
            </w:r>
            <w:proofErr w:type="spellEnd"/>
            <w:r>
              <w:t xml:space="preserve"> quote  </w:t>
            </w:r>
            <w:r w:rsidRPr="00FD5BA9">
              <w:rPr>
                <w:color w:val="0000FF"/>
              </w:rPr>
              <w:t>(Slide 22)</w:t>
            </w:r>
          </w:p>
          <w:p w14:paraId="5B5D0518" w14:textId="74D2C438" w:rsidR="000A35D2" w:rsidRDefault="00FD5BA9" w:rsidP="008011F8">
            <w:r w:rsidRPr="00FD5BA9">
              <w:rPr>
                <w:color w:val="0000FF"/>
              </w:rPr>
              <w:t>(Slide 23)</w:t>
            </w:r>
            <w:r>
              <w:t xml:space="preserve"> </w:t>
            </w:r>
            <w:r w:rsidR="000A35D2">
              <w:t xml:space="preserve">Activity:  select a share story from the year and begin to build an oral mentor text.  Ex:  Jackie’s example from multiage – told the story among teachers many times, never thought to use it as a shared story with class.  Share their stories around the table.  </w:t>
            </w:r>
          </w:p>
          <w:p w14:paraId="401DCF59" w14:textId="77777777" w:rsidR="000A35D2" w:rsidRDefault="00FD5BA9" w:rsidP="008011F8">
            <w:r>
              <w:t xml:space="preserve">Oral Mentor Text overview </w:t>
            </w:r>
            <w:r w:rsidRPr="00FD5BA9">
              <w:rPr>
                <w:color w:val="0000FF"/>
              </w:rPr>
              <w:t>(Slides 24 – 29)</w:t>
            </w:r>
          </w:p>
          <w:p w14:paraId="6EB1ACFF" w14:textId="77777777" w:rsidR="00FD5BA9" w:rsidRDefault="00FD5BA9" w:rsidP="008011F8">
            <w:pPr>
              <w:rPr>
                <w:color w:val="0000FF"/>
              </w:rPr>
            </w:pPr>
            <w:r>
              <w:t xml:space="preserve">Turn and Talk </w:t>
            </w:r>
            <w:r w:rsidRPr="00FD5BA9">
              <w:rPr>
                <w:color w:val="0000FF"/>
              </w:rPr>
              <w:t>(Slide 30)</w:t>
            </w:r>
          </w:p>
          <w:p w14:paraId="22AAD299" w14:textId="3BE7E172" w:rsidR="00A922BD" w:rsidRDefault="00A922BD" w:rsidP="008011F8">
            <w:r w:rsidRPr="00A922BD">
              <w:rPr>
                <w:color w:val="FF0000"/>
              </w:rPr>
              <w:t>HANDOUTS</w:t>
            </w:r>
            <w:r>
              <w:rPr>
                <w:color w:val="0000FF"/>
              </w:rPr>
              <w:t xml:space="preserve"> </w:t>
            </w:r>
            <w:r w:rsidRPr="00A922BD">
              <w:t>– appendix materials</w:t>
            </w:r>
          </w:p>
        </w:tc>
        <w:tc>
          <w:tcPr>
            <w:tcW w:w="2538" w:type="dxa"/>
          </w:tcPr>
          <w:p w14:paraId="0E5E01D7" w14:textId="48C13E02" w:rsidR="00EC4748" w:rsidRDefault="00EC4748" w:rsidP="008011F8">
            <w:pPr>
              <w:rPr>
                <w:b/>
                <w:color w:val="008000"/>
              </w:rPr>
            </w:pPr>
          </w:p>
        </w:tc>
      </w:tr>
      <w:tr w:rsidR="00EC4748" w14:paraId="2CF82366" w14:textId="77777777" w:rsidTr="008011F8">
        <w:tc>
          <w:tcPr>
            <w:tcW w:w="1548" w:type="dxa"/>
          </w:tcPr>
          <w:p w14:paraId="2F8F0973" w14:textId="1BA7CB0C" w:rsidR="005D4259" w:rsidRDefault="005D4259" w:rsidP="000A35D2">
            <w:r>
              <w:t>15 minutes</w:t>
            </w:r>
          </w:p>
        </w:tc>
        <w:tc>
          <w:tcPr>
            <w:tcW w:w="4770" w:type="dxa"/>
          </w:tcPr>
          <w:p w14:paraId="50508435" w14:textId="77777777" w:rsidR="00FD5BA9" w:rsidRDefault="00FD5BA9" w:rsidP="00E47708">
            <w:r>
              <w:t xml:space="preserve">Thinking, Learning, and Conversations </w:t>
            </w:r>
            <w:r w:rsidRPr="003E7AD6">
              <w:rPr>
                <w:color w:val="0000FF"/>
              </w:rPr>
              <w:t>(Slide 31)</w:t>
            </w:r>
          </w:p>
          <w:p w14:paraId="079F0889" w14:textId="77777777" w:rsidR="00FD5BA9" w:rsidRDefault="00FD5BA9" w:rsidP="00E47708">
            <w:r>
              <w:t xml:space="preserve">What does conversation look like? </w:t>
            </w:r>
            <w:r w:rsidRPr="003E7AD6">
              <w:rPr>
                <w:color w:val="0000FF"/>
              </w:rPr>
              <w:t>(Slide 32)</w:t>
            </w:r>
          </w:p>
          <w:p w14:paraId="5D8EBD87" w14:textId="3D0D8780" w:rsidR="00FD5BA9" w:rsidRDefault="00FD5BA9" w:rsidP="00E47708">
            <w:r>
              <w:t xml:space="preserve">Why Talk?  </w:t>
            </w:r>
            <w:r w:rsidRPr="003E7AD6">
              <w:rPr>
                <w:color w:val="0000FF"/>
              </w:rPr>
              <w:t>(Slide 33)</w:t>
            </w:r>
          </w:p>
          <w:p w14:paraId="0588EA70" w14:textId="1DA9DAA6" w:rsidR="00E47708" w:rsidRDefault="00E47708" w:rsidP="00E47708">
            <w:pPr>
              <w:rPr>
                <w:color w:val="0000FF"/>
              </w:rPr>
            </w:pPr>
            <w:proofErr w:type="spellStart"/>
            <w:r>
              <w:t>Monologic</w:t>
            </w:r>
            <w:proofErr w:type="spellEnd"/>
            <w:r>
              <w:t xml:space="preserve"> </w:t>
            </w:r>
            <w:proofErr w:type="spellStart"/>
            <w:r>
              <w:t>vs</w:t>
            </w:r>
            <w:proofErr w:type="spellEnd"/>
            <w:r>
              <w:t xml:space="preserve"> Dialogic Talk  </w:t>
            </w:r>
            <w:r w:rsidR="00FD5BA9">
              <w:rPr>
                <w:color w:val="0000FF"/>
              </w:rPr>
              <w:t>(</w:t>
            </w:r>
            <w:proofErr w:type="gramStart"/>
            <w:r w:rsidR="00FD5BA9">
              <w:rPr>
                <w:color w:val="0000FF"/>
              </w:rPr>
              <w:t>Slides  34</w:t>
            </w:r>
            <w:proofErr w:type="gramEnd"/>
            <w:r w:rsidR="00FD5BA9">
              <w:rPr>
                <w:color w:val="0000FF"/>
              </w:rPr>
              <w:t xml:space="preserve"> -35</w:t>
            </w:r>
            <w:r w:rsidRPr="00837BC3">
              <w:rPr>
                <w:color w:val="0000FF"/>
              </w:rPr>
              <w:t>)</w:t>
            </w:r>
          </w:p>
          <w:p w14:paraId="70968235" w14:textId="65F38D28" w:rsidR="00E47708" w:rsidRDefault="00E47708" w:rsidP="00E47708">
            <w:r>
              <w:t xml:space="preserve">Talk in the classroom falls along a continuum from simple oral language to conversation to discussion to dialogue and finally to discourse, which implies content specific talk. </w:t>
            </w:r>
            <w:r w:rsidR="00FD5BA9">
              <w:rPr>
                <w:color w:val="0000FF"/>
              </w:rPr>
              <w:t>(Slide 36</w:t>
            </w:r>
            <w:r w:rsidRPr="00D03298">
              <w:rPr>
                <w:color w:val="0000FF"/>
              </w:rPr>
              <w:t>)</w:t>
            </w:r>
          </w:p>
          <w:p w14:paraId="590E1BF2" w14:textId="77777777" w:rsidR="00E47708" w:rsidRDefault="00E47708" w:rsidP="00E47708">
            <w:r>
              <w:t>What We’re Pushing Away From, And Why</w:t>
            </w:r>
          </w:p>
          <w:p w14:paraId="0D52F3F3" w14:textId="4F0230E5" w:rsidR="00E47708" w:rsidRDefault="00FD5BA9" w:rsidP="00E47708">
            <w:r>
              <w:rPr>
                <w:color w:val="0000FF"/>
              </w:rPr>
              <w:t>(Slide 37</w:t>
            </w:r>
            <w:r w:rsidR="00E47708" w:rsidRPr="00D03298">
              <w:rPr>
                <w:color w:val="0000FF"/>
              </w:rPr>
              <w:t>)</w:t>
            </w:r>
            <w:r w:rsidR="00E47708">
              <w:rPr>
                <w:color w:val="0000FF"/>
              </w:rPr>
              <w:t xml:space="preserve"> </w:t>
            </w:r>
            <w:r w:rsidR="00E47708" w:rsidRPr="00833015">
              <w:t>Refer to the handout (Paradigm Shifts) as you do the slide.</w:t>
            </w:r>
          </w:p>
          <w:p w14:paraId="221A95B6" w14:textId="77777777" w:rsidR="00FD5BA9" w:rsidRPr="003E7AD6" w:rsidRDefault="00FD5BA9" w:rsidP="00E47708">
            <w:pPr>
              <w:rPr>
                <w:color w:val="0000FF"/>
              </w:rPr>
            </w:pPr>
            <w:r>
              <w:t xml:space="preserve">Academic Conversations </w:t>
            </w:r>
            <w:r w:rsidRPr="003E7AD6">
              <w:rPr>
                <w:color w:val="0000FF"/>
              </w:rPr>
              <w:t>(Slide 38)</w:t>
            </w:r>
          </w:p>
          <w:p w14:paraId="70EE3CC2" w14:textId="77777777" w:rsidR="00FD5BA9" w:rsidRDefault="003E7AD6" w:rsidP="00E47708">
            <w:r>
              <w:t xml:space="preserve">The First Days </w:t>
            </w:r>
            <w:r w:rsidRPr="003E7AD6">
              <w:rPr>
                <w:color w:val="0000FF"/>
              </w:rPr>
              <w:t>(Slide 39)</w:t>
            </w:r>
          </w:p>
          <w:p w14:paraId="67312634" w14:textId="6ACD4B0D" w:rsidR="003E7AD6" w:rsidRPr="003E7AD6" w:rsidRDefault="003E7AD6" w:rsidP="00E47708">
            <w:r>
              <w:t xml:space="preserve">Five Core Skills of Academic Conversation </w:t>
            </w:r>
            <w:r w:rsidRPr="003E7AD6">
              <w:rPr>
                <w:color w:val="0000FF"/>
              </w:rPr>
              <w:t>(Slide 4</w:t>
            </w:r>
            <w:r>
              <w:rPr>
                <w:color w:val="0000FF"/>
              </w:rPr>
              <w:t>0)</w:t>
            </w:r>
          </w:p>
          <w:p w14:paraId="42656D5F" w14:textId="77777777" w:rsidR="00E47708" w:rsidRPr="00D03298" w:rsidRDefault="00E47708" w:rsidP="00E47708">
            <w:pPr>
              <w:rPr>
                <w:color w:val="FF0000"/>
              </w:rPr>
            </w:pPr>
            <w:r w:rsidRPr="00D03298">
              <w:rPr>
                <w:color w:val="FF0000"/>
              </w:rPr>
              <w:t xml:space="preserve">HANDOUTS:  </w:t>
            </w:r>
          </w:p>
          <w:p w14:paraId="4821A2EA" w14:textId="77777777" w:rsidR="00E47708" w:rsidRPr="00BC09D2" w:rsidRDefault="00E47708" w:rsidP="00BC09D2">
            <w:pPr>
              <w:pStyle w:val="ListParagraph"/>
              <w:numPr>
                <w:ilvl w:val="0"/>
                <w:numId w:val="1"/>
              </w:numPr>
              <w:rPr>
                <w:color w:val="FF0000"/>
              </w:rPr>
            </w:pPr>
            <w:r w:rsidRPr="00BC09D2">
              <w:rPr>
                <w:color w:val="FF0000"/>
              </w:rPr>
              <w:t>Tips for Improving Student-to-Student Discourse</w:t>
            </w:r>
          </w:p>
          <w:p w14:paraId="147F0395" w14:textId="67B92BB7" w:rsidR="00BC09D2" w:rsidRDefault="00BC09D2" w:rsidP="00BC09D2">
            <w:pPr>
              <w:pStyle w:val="ListParagraph"/>
              <w:numPr>
                <w:ilvl w:val="0"/>
                <w:numId w:val="1"/>
              </w:numPr>
              <w:rPr>
                <w:color w:val="FF0000"/>
              </w:rPr>
            </w:pPr>
            <w:r w:rsidRPr="00BC09D2">
              <w:rPr>
                <w:color w:val="FF0000"/>
              </w:rPr>
              <w:t>Paradigm Shifts</w:t>
            </w:r>
          </w:p>
          <w:p w14:paraId="3B9FC01D" w14:textId="77777777" w:rsidR="00BC09D2" w:rsidRPr="00BC09D2" w:rsidRDefault="00BC09D2" w:rsidP="00BC09D2">
            <w:pPr>
              <w:pStyle w:val="ListParagraph"/>
              <w:numPr>
                <w:ilvl w:val="0"/>
                <w:numId w:val="1"/>
              </w:numPr>
              <w:rPr>
                <w:color w:val="FF0000"/>
              </w:rPr>
            </w:pPr>
            <w:r w:rsidRPr="00BC09D2">
              <w:rPr>
                <w:color w:val="FF0000"/>
              </w:rPr>
              <w:t xml:space="preserve">The Reciprocal Nature of </w:t>
            </w:r>
            <w:proofErr w:type="spellStart"/>
            <w:r w:rsidRPr="00BC09D2">
              <w:rPr>
                <w:color w:val="FF0000"/>
              </w:rPr>
              <w:t>Cambourne’s</w:t>
            </w:r>
            <w:proofErr w:type="spellEnd"/>
            <w:r w:rsidRPr="00BC09D2">
              <w:rPr>
                <w:color w:val="FF0000"/>
              </w:rPr>
              <w:t xml:space="preserve"> Conditions…</w:t>
            </w:r>
          </w:p>
          <w:p w14:paraId="7C78DB20" w14:textId="77777777" w:rsidR="00BC09D2" w:rsidRPr="00BC09D2" w:rsidRDefault="00BC09D2" w:rsidP="00BC09D2">
            <w:pPr>
              <w:pStyle w:val="ListParagraph"/>
              <w:numPr>
                <w:ilvl w:val="0"/>
                <w:numId w:val="1"/>
              </w:numPr>
              <w:rPr>
                <w:color w:val="FF0000"/>
              </w:rPr>
            </w:pPr>
            <w:r w:rsidRPr="00BC09D2">
              <w:rPr>
                <w:color w:val="FF0000"/>
              </w:rPr>
              <w:t>A Sampling of Key Indicators from The First Steps of Oral Language Continuum</w:t>
            </w:r>
          </w:p>
          <w:p w14:paraId="308D6671" w14:textId="6EACF90E" w:rsidR="00BC09D2" w:rsidRDefault="00BC09D2" w:rsidP="00BC09D2">
            <w:pPr>
              <w:pStyle w:val="ListParagraph"/>
              <w:numPr>
                <w:ilvl w:val="0"/>
                <w:numId w:val="1"/>
              </w:numPr>
              <w:rPr>
                <w:color w:val="FF0000"/>
              </w:rPr>
            </w:pPr>
            <w:r w:rsidRPr="00BC09D2">
              <w:rPr>
                <w:color w:val="FF0000"/>
              </w:rPr>
              <w:t>Indicators of Success-Productive Group Work Rubric</w:t>
            </w:r>
          </w:p>
          <w:p w14:paraId="2E76234D" w14:textId="77777777" w:rsidR="00BC09D2" w:rsidRDefault="00BC09D2" w:rsidP="00BC09D2">
            <w:pPr>
              <w:pStyle w:val="ListParagraph"/>
              <w:numPr>
                <w:ilvl w:val="0"/>
                <w:numId w:val="1"/>
              </w:numPr>
              <w:rPr>
                <w:color w:val="FF0000"/>
              </w:rPr>
            </w:pPr>
            <w:r>
              <w:rPr>
                <w:color w:val="FF0000"/>
              </w:rPr>
              <w:t>Self-Assessment Checklist for Conversation Work</w:t>
            </w:r>
          </w:p>
          <w:p w14:paraId="053517BE" w14:textId="77777777" w:rsidR="00BC09D2" w:rsidRDefault="00BC09D2" w:rsidP="00BC09D2">
            <w:pPr>
              <w:pStyle w:val="ListParagraph"/>
              <w:numPr>
                <w:ilvl w:val="0"/>
                <w:numId w:val="1"/>
              </w:numPr>
              <w:rPr>
                <w:color w:val="FF0000"/>
              </w:rPr>
            </w:pPr>
            <w:r>
              <w:rPr>
                <w:color w:val="FF0000"/>
              </w:rPr>
              <w:t>Accountable Talk Rubric</w:t>
            </w:r>
          </w:p>
          <w:p w14:paraId="70B66461" w14:textId="7395ECFA" w:rsidR="00BC09D2" w:rsidRPr="00964811" w:rsidRDefault="00BC09D2" w:rsidP="00964811">
            <w:pPr>
              <w:pStyle w:val="ListParagraph"/>
              <w:numPr>
                <w:ilvl w:val="0"/>
                <w:numId w:val="1"/>
              </w:numPr>
              <w:rPr>
                <w:color w:val="FF0000"/>
              </w:rPr>
            </w:pPr>
            <w:r>
              <w:rPr>
                <w:color w:val="FF0000"/>
              </w:rPr>
              <w:t>Accountable Talk Rubric for Text-Dependent Discussion</w:t>
            </w:r>
            <w:r w:rsidR="00964811">
              <w:rPr>
                <w:color w:val="FF0000"/>
              </w:rPr>
              <w:t xml:space="preserve"> &amp; </w:t>
            </w:r>
            <w:r w:rsidRPr="00964811">
              <w:rPr>
                <w:color w:val="FF0000"/>
              </w:rPr>
              <w:t>Advantages of Conversation list</w:t>
            </w:r>
          </w:p>
          <w:p w14:paraId="4B88E04D" w14:textId="4D022050" w:rsidR="00BC09D2" w:rsidRDefault="00BC09D2" w:rsidP="00BC09D2">
            <w:pPr>
              <w:pStyle w:val="ListParagraph"/>
              <w:numPr>
                <w:ilvl w:val="0"/>
                <w:numId w:val="1"/>
              </w:numPr>
              <w:rPr>
                <w:color w:val="FF0000"/>
              </w:rPr>
            </w:pPr>
            <w:r>
              <w:rPr>
                <w:color w:val="FF0000"/>
              </w:rPr>
              <w:t>Academic Conversation Placement with Prompts</w:t>
            </w:r>
          </w:p>
          <w:p w14:paraId="4D73B6D6" w14:textId="744D4650" w:rsidR="00E47708" w:rsidRDefault="00BC09D2" w:rsidP="00E47708">
            <w:pPr>
              <w:pStyle w:val="ListParagraph"/>
              <w:numPr>
                <w:ilvl w:val="0"/>
                <w:numId w:val="1"/>
              </w:numPr>
              <w:rPr>
                <w:color w:val="FF0000"/>
              </w:rPr>
            </w:pPr>
            <w:r>
              <w:rPr>
                <w:color w:val="FF0000"/>
              </w:rPr>
              <w:t>First Turn, Last Turn</w:t>
            </w:r>
          </w:p>
          <w:p w14:paraId="6B3A02AF" w14:textId="77777777" w:rsidR="00E47708" w:rsidRDefault="00E47708" w:rsidP="00E47708">
            <w:pPr>
              <w:pStyle w:val="ListParagraph"/>
              <w:numPr>
                <w:ilvl w:val="0"/>
                <w:numId w:val="1"/>
              </w:numPr>
              <w:rPr>
                <w:color w:val="FF0000"/>
              </w:rPr>
            </w:pPr>
            <w:r w:rsidRPr="00BC09D2">
              <w:rPr>
                <w:color w:val="FF0000"/>
              </w:rPr>
              <w:t>Five Talk Moves</w:t>
            </w:r>
          </w:p>
          <w:p w14:paraId="59B13A70" w14:textId="7F1BD232" w:rsidR="00964811" w:rsidRPr="00BC09D2" w:rsidRDefault="00964811" w:rsidP="00E47708">
            <w:pPr>
              <w:pStyle w:val="ListParagraph"/>
              <w:numPr>
                <w:ilvl w:val="0"/>
                <w:numId w:val="1"/>
              </w:numPr>
              <w:rPr>
                <w:color w:val="FF0000"/>
              </w:rPr>
            </w:pPr>
            <w:r>
              <w:rPr>
                <w:color w:val="FF0000"/>
              </w:rPr>
              <w:t>SOLAR</w:t>
            </w:r>
            <w:bookmarkStart w:id="0" w:name="_GoBack"/>
            <w:bookmarkEnd w:id="0"/>
          </w:p>
          <w:p w14:paraId="1D6A5BAB" w14:textId="547F8845" w:rsidR="00F4215D" w:rsidRDefault="00E47708" w:rsidP="008011F8">
            <w:r>
              <w:t>Just draw their attention to these handouts for their reference.</w:t>
            </w:r>
          </w:p>
        </w:tc>
        <w:tc>
          <w:tcPr>
            <w:tcW w:w="2538" w:type="dxa"/>
          </w:tcPr>
          <w:p w14:paraId="144B6F43" w14:textId="0F253ADE" w:rsidR="00EC4748" w:rsidRDefault="00EC4748" w:rsidP="008011F8">
            <w:pPr>
              <w:rPr>
                <w:b/>
                <w:color w:val="008000"/>
              </w:rPr>
            </w:pPr>
          </w:p>
        </w:tc>
      </w:tr>
      <w:tr w:rsidR="00EC4748" w14:paraId="3029927B" w14:textId="77777777" w:rsidTr="008011F8">
        <w:tc>
          <w:tcPr>
            <w:tcW w:w="1548" w:type="dxa"/>
          </w:tcPr>
          <w:p w14:paraId="2C0EC3D7" w14:textId="5E940B08" w:rsidR="005D4259" w:rsidRDefault="005D4259" w:rsidP="008011F8">
            <w:r>
              <w:t>25 minutes</w:t>
            </w:r>
          </w:p>
        </w:tc>
        <w:tc>
          <w:tcPr>
            <w:tcW w:w="4770" w:type="dxa"/>
          </w:tcPr>
          <w:p w14:paraId="393C7628" w14:textId="0336BB08" w:rsidR="00E47708" w:rsidRDefault="00E47708" w:rsidP="00E47708">
            <w:pPr>
              <w:rPr>
                <w:color w:val="0000FF"/>
              </w:rPr>
            </w:pPr>
            <w:r>
              <w:t xml:space="preserve">Oral Language Assessment </w:t>
            </w:r>
            <w:r w:rsidR="003E7AD6">
              <w:rPr>
                <w:color w:val="0000FF"/>
              </w:rPr>
              <w:t>(Slides 41-42</w:t>
            </w:r>
            <w:r w:rsidRPr="007C035A">
              <w:rPr>
                <w:color w:val="0000FF"/>
              </w:rPr>
              <w:t>)</w:t>
            </w:r>
          </w:p>
          <w:p w14:paraId="5F8DB7B8" w14:textId="77777777" w:rsidR="00E47708" w:rsidRDefault="00E47708" w:rsidP="00E47708">
            <w:r>
              <w:t>The MLPP contains assessments for grades K-5 in the area of speaking and listening.</w:t>
            </w:r>
          </w:p>
          <w:p w14:paraId="5ACDE9DB" w14:textId="77777777" w:rsidR="00E47708" w:rsidRDefault="00E47708" w:rsidP="00E47708">
            <w:pPr>
              <w:rPr>
                <w:color w:val="FF0000"/>
              </w:rPr>
            </w:pPr>
            <w:r w:rsidRPr="003F5136">
              <w:rPr>
                <w:color w:val="FF0000"/>
              </w:rPr>
              <w:t>HANDOUTS</w:t>
            </w:r>
          </w:p>
          <w:p w14:paraId="4D7BD34A" w14:textId="70B31506" w:rsidR="0072667D" w:rsidRPr="00D03298" w:rsidRDefault="003E7AD6" w:rsidP="008011F8">
            <w:r>
              <w:rPr>
                <w:color w:val="0000FF"/>
              </w:rPr>
              <w:t>(Slide 43</w:t>
            </w:r>
            <w:r w:rsidR="00E47708" w:rsidRPr="00624C26">
              <w:rPr>
                <w:color w:val="0000FF"/>
              </w:rPr>
              <w:t>)</w:t>
            </w:r>
            <w:r w:rsidR="00E47708">
              <w:t xml:space="preserve"> Take a moment to read over the assessments for your grade.  Who currently uses these?  How do they inform your instruction?  What is the connection to the CCS?  What is the connection to the Smarter Balanced assessments?</w:t>
            </w:r>
          </w:p>
        </w:tc>
        <w:tc>
          <w:tcPr>
            <w:tcW w:w="2538" w:type="dxa"/>
          </w:tcPr>
          <w:p w14:paraId="2265A2F7" w14:textId="22501045" w:rsidR="00EC4748" w:rsidRDefault="00EC4748" w:rsidP="00833015">
            <w:pPr>
              <w:rPr>
                <w:b/>
                <w:color w:val="008000"/>
              </w:rPr>
            </w:pPr>
          </w:p>
        </w:tc>
      </w:tr>
      <w:tr w:rsidR="007654B3" w14:paraId="4A8535EA" w14:textId="77777777" w:rsidTr="008011F8">
        <w:tc>
          <w:tcPr>
            <w:tcW w:w="1548" w:type="dxa"/>
          </w:tcPr>
          <w:p w14:paraId="14585596" w14:textId="4B474EF3" w:rsidR="005D4259" w:rsidRDefault="005D4259" w:rsidP="008011F8">
            <w:r>
              <w:t>5 minutes</w:t>
            </w:r>
          </w:p>
        </w:tc>
        <w:tc>
          <w:tcPr>
            <w:tcW w:w="4770" w:type="dxa"/>
          </w:tcPr>
          <w:p w14:paraId="4FFAC25A" w14:textId="77777777" w:rsidR="007654B3" w:rsidRDefault="007654B3" w:rsidP="008011F8">
            <w:r>
              <w:t xml:space="preserve">Read aloud the Postlude (“Every Child, Every Time”) from </w:t>
            </w:r>
            <w:r w:rsidRPr="005D4259">
              <w:rPr>
                <w:i/>
              </w:rPr>
              <w:t>Talk About Understanding</w:t>
            </w:r>
            <w:r>
              <w:t xml:space="preserve"> by </w:t>
            </w:r>
            <w:proofErr w:type="spellStart"/>
            <w:r>
              <w:t>Ellin</w:t>
            </w:r>
            <w:proofErr w:type="spellEnd"/>
            <w:r>
              <w:t xml:space="preserve"> Keene.</w:t>
            </w:r>
          </w:p>
          <w:p w14:paraId="61FEDD6C" w14:textId="35D1C33D" w:rsidR="00E47708" w:rsidRDefault="00E47708" w:rsidP="00E47708">
            <w:r>
              <w:t xml:space="preserve">Assignment  </w:t>
            </w:r>
            <w:r w:rsidRPr="00737880">
              <w:rPr>
                <w:color w:val="0000FF"/>
              </w:rPr>
              <w:t xml:space="preserve">(Slide </w:t>
            </w:r>
            <w:r w:rsidR="003E7AD6">
              <w:rPr>
                <w:color w:val="0000FF"/>
              </w:rPr>
              <w:t>44</w:t>
            </w:r>
            <w:r w:rsidRPr="00737880">
              <w:rPr>
                <w:color w:val="0000FF"/>
              </w:rPr>
              <w:t>)</w:t>
            </w:r>
            <w:r w:rsidR="002F2DEC">
              <w:rPr>
                <w:color w:val="0000FF"/>
              </w:rPr>
              <w:t xml:space="preserve"> </w:t>
            </w:r>
            <w:r w:rsidR="002F2DEC" w:rsidRPr="002F2DEC">
              <w:rPr>
                <w:color w:val="FF0000"/>
              </w:rPr>
              <w:t>HANDOUT</w:t>
            </w:r>
          </w:p>
          <w:p w14:paraId="1BD80528" w14:textId="4FE8E3DF" w:rsidR="00E47708" w:rsidRDefault="00E47708" w:rsidP="003E7AD6">
            <w:r>
              <w:t xml:space="preserve">Wrap up &amp; Ticket Out the Door </w:t>
            </w:r>
            <w:r w:rsidRPr="00737880">
              <w:rPr>
                <w:color w:val="0000FF"/>
              </w:rPr>
              <w:t xml:space="preserve">(Slide </w:t>
            </w:r>
            <w:r w:rsidR="003E7AD6">
              <w:rPr>
                <w:color w:val="0000FF"/>
              </w:rPr>
              <w:t>45)</w:t>
            </w:r>
            <w:r w:rsidR="002F2DEC">
              <w:rPr>
                <w:color w:val="0000FF"/>
              </w:rPr>
              <w:t xml:space="preserve"> </w:t>
            </w:r>
            <w:r w:rsidR="002F2DEC" w:rsidRPr="002F2DEC">
              <w:rPr>
                <w:color w:val="FF0000"/>
              </w:rPr>
              <w:t>HANDOUT</w:t>
            </w:r>
          </w:p>
        </w:tc>
        <w:tc>
          <w:tcPr>
            <w:tcW w:w="2538" w:type="dxa"/>
          </w:tcPr>
          <w:p w14:paraId="494A82B5" w14:textId="09ACAD00" w:rsidR="007654B3" w:rsidRDefault="007654B3" w:rsidP="008011F8">
            <w:pPr>
              <w:rPr>
                <w:b/>
                <w:color w:val="008000"/>
              </w:rPr>
            </w:pPr>
          </w:p>
        </w:tc>
      </w:tr>
    </w:tbl>
    <w:p w14:paraId="1B301ACF" w14:textId="72581C24" w:rsidR="0029161B" w:rsidRDefault="0029161B" w:rsidP="00E47708"/>
    <w:sectPr w:rsidR="0029161B" w:rsidSect="0072667D">
      <w:pgSz w:w="12240" w:h="15840"/>
      <w:pgMar w:top="99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0C0B"/>
    <w:multiLevelType w:val="hybridMultilevel"/>
    <w:tmpl w:val="3990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2C"/>
    <w:rsid w:val="00080318"/>
    <w:rsid w:val="00097589"/>
    <w:rsid w:val="000A35D2"/>
    <w:rsid w:val="000C31A5"/>
    <w:rsid w:val="00273B37"/>
    <w:rsid w:val="0029161B"/>
    <w:rsid w:val="002F2DEC"/>
    <w:rsid w:val="00334027"/>
    <w:rsid w:val="00377C3A"/>
    <w:rsid w:val="003D19E5"/>
    <w:rsid w:val="003E7AD6"/>
    <w:rsid w:val="003F5136"/>
    <w:rsid w:val="004D0563"/>
    <w:rsid w:val="004E0D2F"/>
    <w:rsid w:val="005D4259"/>
    <w:rsid w:val="005E1B8B"/>
    <w:rsid w:val="00624C26"/>
    <w:rsid w:val="006922EE"/>
    <w:rsid w:val="006F6C21"/>
    <w:rsid w:val="0072667D"/>
    <w:rsid w:val="00737880"/>
    <w:rsid w:val="007654B3"/>
    <w:rsid w:val="007C035A"/>
    <w:rsid w:val="007D7049"/>
    <w:rsid w:val="008011F8"/>
    <w:rsid w:val="00833015"/>
    <w:rsid w:val="00837BC3"/>
    <w:rsid w:val="008B4A06"/>
    <w:rsid w:val="00964811"/>
    <w:rsid w:val="009D4E2C"/>
    <w:rsid w:val="00A13157"/>
    <w:rsid w:val="00A27574"/>
    <w:rsid w:val="00A922BD"/>
    <w:rsid w:val="00AE1318"/>
    <w:rsid w:val="00BC09D2"/>
    <w:rsid w:val="00C0121F"/>
    <w:rsid w:val="00C14390"/>
    <w:rsid w:val="00C93DE7"/>
    <w:rsid w:val="00CC2153"/>
    <w:rsid w:val="00D03298"/>
    <w:rsid w:val="00D55E9C"/>
    <w:rsid w:val="00D86EE8"/>
    <w:rsid w:val="00DA1D71"/>
    <w:rsid w:val="00DF0911"/>
    <w:rsid w:val="00E47708"/>
    <w:rsid w:val="00E708D5"/>
    <w:rsid w:val="00EC4748"/>
    <w:rsid w:val="00F27713"/>
    <w:rsid w:val="00F4215D"/>
    <w:rsid w:val="00F7023B"/>
    <w:rsid w:val="00FD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F1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7574"/>
    <w:rPr>
      <w:color w:val="0000FF" w:themeColor="hyperlink"/>
      <w:u w:val="single"/>
    </w:rPr>
  </w:style>
  <w:style w:type="paragraph" w:styleId="ListParagraph">
    <w:name w:val="List Paragraph"/>
    <w:basedOn w:val="Normal"/>
    <w:uiPriority w:val="34"/>
    <w:qFormat/>
    <w:rsid w:val="00BC09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7574"/>
    <w:rPr>
      <w:color w:val="0000FF" w:themeColor="hyperlink"/>
      <w:u w:val="single"/>
    </w:rPr>
  </w:style>
  <w:style w:type="paragraph" w:styleId="ListParagraph">
    <w:name w:val="List Paragraph"/>
    <w:basedOn w:val="Normal"/>
    <w:uiPriority w:val="34"/>
    <w:qFormat/>
    <w:rsid w:val="00BC0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moth.org/posts/stories/an-indomitable-spir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694</Words>
  <Characters>3956</Characters>
  <Application>Microsoft Macintosh Word</Application>
  <DocSecurity>0</DocSecurity>
  <Lines>32</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Mick</dc:creator>
  <cp:keywords/>
  <dc:description/>
  <cp:lastModifiedBy>Barbara Mick</cp:lastModifiedBy>
  <cp:revision>5</cp:revision>
  <cp:lastPrinted>2015-01-05T14:12:00Z</cp:lastPrinted>
  <dcterms:created xsi:type="dcterms:W3CDTF">2015-03-12T14:19:00Z</dcterms:created>
  <dcterms:modified xsi:type="dcterms:W3CDTF">2015-04-10T18:47:00Z</dcterms:modified>
</cp:coreProperties>
</file>