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6A3CD" w14:textId="77777777" w:rsidR="00E2565E" w:rsidRDefault="00E2565E" w:rsidP="00E2565E">
      <w:pPr>
        <w:jc w:val="center"/>
        <w:rPr>
          <w:b/>
        </w:rPr>
      </w:pPr>
      <w:bookmarkStart w:id="0" w:name="_GoBack"/>
      <w:bookmarkEnd w:id="0"/>
      <w:r>
        <w:rPr>
          <w:b/>
        </w:rPr>
        <w:t>The Next Chapter</w:t>
      </w:r>
    </w:p>
    <w:p w14:paraId="41E690BE" w14:textId="77777777" w:rsidR="00E2565E" w:rsidRDefault="00E2565E" w:rsidP="00E2565E">
      <w:pPr>
        <w:jc w:val="center"/>
        <w:rPr>
          <w:b/>
        </w:rPr>
      </w:pPr>
      <w:r>
        <w:rPr>
          <w:b/>
        </w:rPr>
        <w:t xml:space="preserve">Session 9:  MAKING THE TRIP MORE MEANINGFUL: </w:t>
      </w:r>
    </w:p>
    <w:p w14:paraId="454B9560" w14:textId="77777777" w:rsidR="00E2565E" w:rsidRDefault="00E2565E" w:rsidP="00E2565E">
      <w:pPr>
        <w:jc w:val="center"/>
        <w:rPr>
          <w:b/>
        </w:rPr>
      </w:pPr>
      <w:r>
        <w:rPr>
          <w:b/>
        </w:rPr>
        <w:t>Deeper Comprehension</w:t>
      </w:r>
    </w:p>
    <w:p w14:paraId="7FAE613B" w14:textId="77777777" w:rsidR="00E2565E" w:rsidRDefault="00E2565E" w:rsidP="00E2565E">
      <w:pPr>
        <w:jc w:val="center"/>
        <w:rPr>
          <w:b/>
          <w:i/>
          <w:color w:val="E36C0A" w:themeColor="accent6" w:themeShade="BF"/>
        </w:rPr>
      </w:pPr>
    </w:p>
    <w:tbl>
      <w:tblPr>
        <w:tblStyle w:val="TableGrid"/>
        <w:tblW w:w="0" w:type="auto"/>
        <w:tblLook w:val="04A0" w:firstRow="1" w:lastRow="0" w:firstColumn="1" w:lastColumn="0" w:noHBand="0" w:noVBand="1"/>
      </w:tblPr>
      <w:tblGrid>
        <w:gridCol w:w="1548"/>
        <w:gridCol w:w="4770"/>
        <w:gridCol w:w="2538"/>
      </w:tblGrid>
      <w:tr w:rsidR="00E2565E" w14:paraId="65916655" w14:textId="77777777" w:rsidTr="00E2565E">
        <w:tc>
          <w:tcPr>
            <w:tcW w:w="1548" w:type="dxa"/>
          </w:tcPr>
          <w:p w14:paraId="5FD52113" w14:textId="77777777" w:rsidR="00E2565E" w:rsidRPr="00C56AFF" w:rsidRDefault="00E2565E" w:rsidP="00E2565E">
            <w:pPr>
              <w:jc w:val="center"/>
              <w:rPr>
                <w:sz w:val="20"/>
                <w:szCs w:val="20"/>
              </w:rPr>
            </w:pPr>
            <w:r>
              <w:rPr>
                <w:sz w:val="20"/>
                <w:szCs w:val="20"/>
              </w:rPr>
              <w:t>Time</w:t>
            </w:r>
          </w:p>
        </w:tc>
        <w:tc>
          <w:tcPr>
            <w:tcW w:w="4770" w:type="dxa"/>
          </w:tcPr>
          <w:p w14:paraId="0E62AD7F" w14:textId="77777777" w:rsidR="00E2565E" w:rsidRPr="00C56AFF" w:rsidRDefault="00E2565E" w:rsidP="00E2565E">
            <w:pPr>
              <w:jc w:val="center"/>
              <w:rPr>
                <w:sz w:val="20"/>
                <w:szCs w:val="20"/>
              </w:rPr>
            </w:pPr>
            <w:r>
              <w:rPr>
                <w:sz w:val="20"/>
                <w:szCs w:val="20"/>
              </w:rPr>
              <w:t>activity</w:t>
            </w:r>
          </w:p>
        </w:tc>
        <w:tc>
          <w:tcPr>
            <w:tcW w:w="2538" w:type="dxa"/>
          </w:tcPr>
          <w:p w14:paraId="7AA6A192" w14:textId="77777777" w:rsidR="00E2565E" w:rsidRPr="00C56AFF" w:rsidRDefault="00E2565E" w:rsidP="00E2565E">
            <w:pPr>
              <w:jc w:val="center"/>
              <w:rPr>
                <w:sz w:val="20"/>
                <w:szCs w:val="20"/>
              </w:rPr>
            </w:pPr>
            <w:r>
              <w:rPr>
                <w:sz w:val="20"/>
                <w:szCs w:val="20"/>
              </w:rPr>
              <w:t>notes</w:t>
            </w:r>
          </w:p>
        </w:tc>
      </w:tr>
      <w:tr w:rsidR="00E2565E" w14:paraId="546ACFE0" w14:textId="77777777" w:rsidTr="00E2565E">
        <w:tc>
          <w:tcPr>
            <w:tcW w:w="1548" w:type="dxa"/>
          </w:tcPr>
          <w:p w14:paraId="160FB44E" w14:textId="00457C81" w:rsidR="00583AD2" w:rsidRDefault="00583AD2" w:rsidP="00E2565E">
            <w:r>
              <w:t>5 minutes</w:t>
            </w:r>
          </w:p>
        </w:tc>
        <w:tc>
          <w:tcPr>
            <w:tcW w:w="4770" w:type="dxa"/>
          </w:tcPr>
          <w:p w14:paraId="7384DD9D" w14:textId="77777777" w:rsidR="00E2565E" w:rsidRDefault="00E2565E" w:rsidP="00E2565E">
            <w:r>
              <w:t xml:space="preserve">Welcome  </w:t>
            </w:r>
            <w:r w:rsidRPr="00653B0C">
              <w:rPr>
                <w:color w:val="0000FF"/>
              </w:rPr>
              <w:t>(Slide 1)</w:t>
            </w:r>
          </w:p>
          <w:p w14:paraId="4B36C29A" w14:textId="1A89C387" w:rsidR="00E2565E" w:rsidRPr="009C04AD" w:rsidRDefault="00E2565E" w:rsidP="00E2565E">
            <w:pPr>
              <w:rPr>
                <w:color w:val="0000FF"/>
              </w:rPr>
            </w:pPr>
            <w:r>
              <w:t xml:space="preserve">Checking our map…where we’ve been and where we’re going  </w:t>
            </w:r>
            <w:r w:rsidRPr="009C04AD">
              <w:rPr>
                <w:color w:val="0000FF"/>
              </w:rPr>
              <w:t>(Slide 2)</w:t>
            </w:r>
            <w:r>
              <w:rPr>
                <w:color w:val="0000FF"/>
              </w:rPr>
              <w:t xml:space="preserve">  </w:t>
            </w:r>
          </w:p>
          <w:p w14:paraId="0ED45D73" w14:textId="77777777" w:rsidR="00E2565E" w:rsidRDefault="00E2565E" w:rsidP="00E2565E"/>
        </w:tc>
        <w:tc>
          <w:tcPr>
            <w:tcW w:w="2538" w:type="dxa"/>
          </w:tcPr>
          <w:p w14:paraId="40F00E8B" w14:textId="04C61099" w:rsidR="00E2565E" w:rsidRPr="007D2A38" w:rsidRDefault="00E2565E" w:rsidP="00E2565E">
            <w:pPr>
              <w:rPr>
                <w:b/>
                <w:color w:val="008000"/>
              </w:rPr>
            </w:pPr>
          </w:p>
        </w:tc>
      </w:tr>
      <w:tr w:rsidR="00E2565E" w14:paraId="197C8037" w14:textId="77777777" w:rsidTr="00E2565E">
        <w:tc>
          <w:tcPr>
            <w:tcW w:w="1548" w:type="dxa"/>
          </w:tcPr>
          <w:p w14:paraId="20B59500" w14:textId="28872006" w:rsidR="00583AD2" w:rsidRDefault="00583AD2" w:rsidP="00E2565E">
            <w:r>
              <w:t>20 minutes</w:t>
            </w:r>
          </w:p>
        </w:tc>
        <w:tc>
          <w:tcPr>
            <w:tcW w:w="4770" w:type="dxa"/>
          </w:tcPr>
          <w:p w14:paraId="7121E58F" w14:textId="28FA2B3F" w:rsidR="00E2565E" w:rsidRDefault="00E2565E" w:rsidP="00E2565E">
            <w:pPr>
              <w:rPr>
                <w:color w:val="0000FF"/>
              </w:rPr>
            </w:pPr>
            <w:r>
              <w:t xml:space="preserve">Your turn:  time to discuss the assignment from session 6. </w:t>
            </w:r>
            <w:r w:rsidRPr="008011F8">
              <w:rPr>
                <w:color w:val="0000FF"/>
              </w:rPr>
              <w:t xml:space="preserve">(Slide </w:t>
            </w:r>
            <w:r>
              <w:rPr>
                <w:color w:val="0000FF"/>
              </w:rPr>
              <w:t>3</w:t>
            </w:r>
            <w:r w:rsidRPr="008011F8">
              <w:rPr>
                <w:color w:val="0000FF"/>
              </w:rPr>
              <w:t>)</w:t>
            </w:r>
            <w:r w:rsidR="00E62C8A">
              <w:rPr>
                <w:color w:val="0000FF"/>
              </w:rPr>
              <w:t xml:space="preserve">  </w:t>
            </w:r>
            <w:r w:rsidR="00E62C8A" w:rsidRPr="00E62C8A">
              <w:t>They will have 15 minu</w:t>
            </w:r>
            <w:r w:rsidR="00B263C3">
              <w:t>tes to discuss, then we need to</w:t>
            </w:r>
            <w:r w:rsidR="00E62C8A" w:rsidRPr="00E62C8A">
              <w:t xml:space="preserve"> process this around the room…they will have questions!  Play it by ear – if you get the “lull”, move to the big group discussion.</w:t>
            </w:r>
            <w:r w:rsidR="00E62C8A">
              <w:rPr>
                <w:color w:val="0000FF"/>
              </w:rPr>
              <w:t xml:space="preserve"> </w:t>
            </w:r>
          </w:p>
          <w:p w14:paraId="3C708082" w14:textId="64974DF0" w:rsidR="00E2565E" w:rsidRDefault="00E2565E" w:rsidP="00E2565E">
            <w:r>
              <w:t xml:space="preserve">Goals for Session 9 </w:t>
            </w:r>
            <w:r w:rsidRPr="009C04AD">
              <w:rPr>
                <w:color w:val="0000FF"/>
              </w:rPr>
              <w:t xml:space="preserve">(Slide </w:t>
            </w:r>
            <w:r>
              <w:rPr>
                <w:color w:val="0000FF"/>
              </w:rPr>
              <w:t xml:space="preserve">4) </w:t>
            </w:r>
          </w:p>
        </w:tc>
        <w:tc>
          <w:tcPr>
            <w:tcW w:w="2538" w:type="dxa"/>
          </w:tcPr>
          <w:p w14:paraId="4260DFF5" w14:textId="1BF56464" w:rsidR="00E2565E" w:rsidRPr="00F3635A" w:rsidRDefault="00E2565E" w:rsidP="00583AD2">
            <w:pPr>
              <w:rPr>
                <w:b/>
                <w:color w:val="008000"/>
              </w:rPr>
            </w:pPr>
          </w:p>
        </w:tc>
      </w:tr>
      <w:tr w:rsidR="00E2565E" w14:paraId="1B5B5C6C" w14:textId="77777777" w:rsidTr="00E2565E">
        <w:tc>
          <w:tcPr>
            <w:tcW w:w="1548" w:type="dxa"/>
          </w:tcPr>
          <w:p w14:paraId="584F7906" w14:textId="6B53535F" w:rsidR="00583AD2" w:rsidRDefault="00583AD2" w:rsidP="00E2565E">
            <w:r>
              <w:t>10 minutes</w:t>
            </w:r>
          </w:p>
        </w:tc>
        <w:tc>
          <w:tcPr>
            <w:tcW w:w="4770" w:type="dxa"/>
          </w:tcPr>
          <w:p w14:paraId="7BE2BA1C" w14:textId="77777777" w:rsidR="00843F9E" w:rsidRDefault="00843F9E" w:rsidP="00E2565E">
            <w:r>
              <w:t>We’re now going to circle back and think about deeper comprehension and how we assess that – our topic for tonight.</w:t>
            </w:r>
          </w:p>
          <w:p w14:paraId="440AC9B2" w14:textId="77777777" w:rsidR="00843F9E" w:rsidRDefault="00843F9E" w:rsidP="00E2565E">
            <w:r>
              <w:rPr>
                <w:color w:val="660066"/>
              </w:rPr>
              <w:t>ACTIVITY</w:t>
            </w:r>
            <w:r>
              <w:t xml:space="preserve"> – At your tables, take the cards provided and sort them in order from the lowest level of comprehension to the most complex.  (5 minutes)</w:t>
            </w:r>
          </w:p>
          <w:p w14:paraId="4541231F" w14:textId="77777777" w:rsidR="00843F9E" w:rsidRDefault="00843F9E" w:rsidP="00E2565E">
            <w:r>
              <w:t xml:space="preserve">Now show </w:t>
            </w:r>
            <w:r w:rsidRPr="00843F9E">
              <w:rPr>
                <w:color w:val="0000FF"/>
              </w:rPr>
              <w:t>Slide 5</w:t>
            </w:r>
            <w:r>
              <w:t xml:space="preserve"> and discuss</w:t>
            </w:r>
          </w:p>
          <w:p w14:paraId="6CE87F83" w14:textId="4C38BE18" w:rsidR="000F7012" w:rsidRPr="005E2AAA" w:rsidRDefault="000F7012" w:rsidP="000F7012">
            <w:r w:rsidRPr="000F7012">
              <w:rPr>
                <w:color w:val="FF0000"/>
              </w:rPr>
              <w:t>HANDOUTS</w:t>
            </w:r>
            <w:r>
              <w:t xml:space="preserve"> – The Continuum of Literacy Learning K-8  and Comprehension Continuum (Pass these out when they finish activity)</w:t>
            </w:r>
          </w:p>
        </w:tc>
        <w:tc>
          <w:tcPr>
            <w:tcW w:w="2538" w:type="dxa"/>
          </w:tcPr>
          <w:p w14:paraId="35A523CE" w14:textId="77777777" w:rsidR="00E2565E" w:rsidRPr="00D16B0F" w:rsidRDefault="00E2565E" w:rsidP="00583AD2">
            <w:pPr>
              <w:rPr>
                <w:b/>
                <w:color w:val="008000"/>
              </w:rPr>
            </w:pPr>
          </w:p>
        </w:tc>
      </w:tr>
      <w:tr w:rsidR="00E2565E" w14:paraId="679C2DD6" w14:textId="77777777" w:rsidTr="00E2565E">
        <w:tc>
          <w:tcPr>
            <w:tcW w:w="1548" w:type="dxa"/>
          </w:tcPr>
          <w:p w14:paraId="1AF552C2" w14:textId="2FABEEA6" w:rsidR="00583AD2" w:rsidRDefault="00583AD2" w:rsidP="00E2565E">
            <w:r>
              <w:t>30 minutes</w:t>
            </w:r>
          </w:p>
        </w:tc>
        <w:tc>
          <w:tcPr>
            <w:tcW w:w="4770" w:type="dxa"/>
          </w:tcPr>
          <w:p w14:paraId="5074A6CE" w14:textId="77777777" w:rsidR="00843F9E" w:rsidRDefault="00E2565E" w:rsidP="00843F9E">
            <w:r>
              <w:t xml:space="preserve"> </w:t>
            </w:r>
            <w:proofErr w:type="spellStart"/>
            <w:r w:rsidR="00843F9E">
              <w:t>Sulzby</w:t>
            </w:r>
            <w:proofErr w:type="spellEnd"/>
            <w:r w:rsidR="00843F9E">
              <w:t xml:space="preserve"> Storybook Classification Scheme</w:t>
            </w:r>
          </w:p>
          <w:p w14:paraId="26300DDF" w14:textId="77777777" w:rsidR="00E2565E" w:rsidRPr="005907CC" w:rsidRDefault="00843F9E" w:rsidP="00843F9E">
            <w:r>
              <w:t xml:space="preserve">What is it?  </w:t>
            </w:r>
            <w:r w:rsidRPr="00457EA2">
              <w:rPr>
                <w:color w:val="0000FF"/>
              </w:rPr>
              <w:t>(Slide</w:t>
            </w:r>
            <w:r w:rsidR="00457EA2" w:rsidRPr="00457EA2">
              <w:rPr>
                <w:color w:val="0000FF"/>
              </w:rPr>
              <w:t>s</w:t>
            </w:r>
            <w:r w:rsidRPr="00457EA2">
              <w:rPr>
                <w:color w:val="0000FF"/>
              </w:rPr>
              <w:t xml:space="preserve"> 6</w:t>
            </w:r>
            <w:r w:rsidR="00457EA2" w:rsidRPr="00457EA2">
              <w:rPr>
                <w:color w:val="0000FF"/>
              </w:rPr>
              <w:t xml:space="preserve"> – 8)</w:t>
            </w:r>
          </w:p>
          <w:p w14:paraId="65B7ECFA" w14:textId="77777777" w:rsidR="004E78A5" w:rsidRDefault="00457EA2" w:rsidP="004E78A5">
            <w:r>
              <w:t xml:space="preserve">Use the </w:t>
            </w:r>
            <w:r w:rsidRPr="00457EA2">
              <w:rPr>
                <w:color w:val="FF0000"/>
              </w:rPr>
              <w:t>HANDOUT</w:t>
            </w:r>
            <w:r w:rsidR="004E78A5">
              <w:t xml:space="preserve"> packet to go through the parts.  </w:t>
            </w:r>
          </w:p>
          <w:p w14:paraId="3EE06893" w14:textId="121BC943" w:rsidR="004E78A5" w:rsidRDefault="004E78A5" w:rsidP="004E78A5">
            <w:r>
              <w:t xml:space="preserve">Read </w:t>
            </w:r>
            <w:r w:rsidRPr="004E78A5">
              <w:rPr>
                <w:i/>
              </w:rPr>
              <w:t>Are You My Mother?</w:t>
            </w:r>
            <w:r>
              <w:t xml:space="preserve"> </w:t>
            </w:r>
            <w:r w:rsidR="00BE0BC8">
              <w:t>A</w:t>
            </w:r>
            <w:r w:rsidR="00592F29">
              <w:t>loud</w:t>
            </w:r>
          </w:p>
          <w:p w14:paraId="314974D4" w14:textId="627EEC85" w:rsidR="00BE0BC8" w:rsidRDefault="00BE0BC8" w:rsidP="004E78A5">
            <w:r>
              <w:t>Show video of child “reading” the book.</w:t>
            </w:r>
          </w:p>
          <w:p w14:paraId="3A449CF5" w14:textId="2214C217" w:rsidR="00BE0BC8" w:rsidRDefault="00BE0BC8" w:rsidP="004E78A5">
            <w:r>
              <w:t>Discuss what level this child would be and why.  What did you notice?</w:t>
            </w:r>
          </w:p>
          <w:p w14:paraId="1C90E01B" w14:textId="009F5657" w:rsidR="00E2565E" w:rsidRPr="005907CC" w:rsidRDefault="00457EA2" w:rsidP="004E78A5">
            <w:r>
              <w:t>Finally, what would be next for this student?</w:t>
            </w:r>
          </w:p>
        </w:tc>
        <w:tc>
          <w:tcPr>
            <w:tcW w:w="2538" w:type="dxa"/>
          </w:tcPr>
          <w:p w14:paraId="73899871" w14:textId="301906CD" w:rsidR="00E2565E" w:rsidRDefault="00E2565E" w:rsidP="00E2565E">
            <w:pPr>
              <w:rPr>
                <w:b/>
                <w:color w:val="008000"/>
              </w:rPr>
            </w:pPr>
          </w:p>
          <w:p w14:paraId="19A84643" w14:textId="77777777" w:rsidR="00E2565E" w:rsidRDefault="00E2565E" w:rsidP="003E6DE6">
            <w:pPr>
              <w:rPr>
                <w:b/>
                <w:color w:val="008000"/>
              </w:rPr>
            </w:pPr>
          </w:p>
        </w:tc>
      </w:tr>
      <w:tr w:rsidR="00A94C9E" w14:paraId="17739900" w14:textId="77777777" w:rsidTr="00E2565E">
        <w:tc>
          <w:tcPr>
            <w:tcW w:w="1548" w:type="dxa"/>
          </w:tcPr>
          <w:p w14:paraId="70830EFC" w14:textId="7F5355E7" w:rsidR="00583AD2" w:rsidRDefault="00583AD2" w:rsidP="00E2565E">
            <w:r>
              <w:t>20 minutes</w:t>
            </w:r>
          </w:p>
        </w:tc>
        <w:tc>
          <w:tcPr>
            <w:tcW w:w="4770" w:type="dxa"/>
          </w:tcPr>
          <w:p w14:paraId="5652F8E9" w14:textId="62FFF2F6" w:rsidR="00A94C9E" w:rsidRDefault="00A94C9E" w:rsidP="00843F9E">
            <w:r>
              <w:t xml:space="preserve">Creating </w:t>
            </w:r>
            <w:r w:rsidR="00D177F0">
              <w:t>Relevance and Rigor</w:t>
            </w:r>
            <w:r>
              <w:t xml:space="preserve"> – </w:t>
            </w:r>
            <w:proofErr w:type="spellStart"/>
            <w:r>
              <w:t>Kylene</w:t>
            </w:r>
            <w:proofErr w:type="spellEnd"/>
            <w:r>
              <w:t xml:space="preserve"> Beers activity</w:t>
            </w:r>
            <w:r w:rsidR="00D177F0">
              <w:t xml:space="preserve"> (alternative to K-W-L)</w:t>
            </w:r>
          </w:p>
          <w:p w14:paraId="77B58659" w14:textId="2309298D" w:rsidR="00583AD2" w:rsidRDefault="00583AD2" w:rsidP="00843F9E">
            <w:r>
              <w:t xml:space="preserve">The problem with K-W-L (and we’ve all been there!) is that students often generate irrelevant “facts” or misconceptions.  Then you are stuck having to honor their contribution but it gets off track from where you are headed with this pre-reading activity.  They also often don’t have any idea </w:t>
            </w:r>
            <w:r>
              <w:lastRenderedPageBreak/>
              <w:t>what the want to know.  They may have no interest in the topic and it is hard to get them to engage in K-W-L.  This activity replaces the traditional K-W-L.</w:t>
            </w:r>
          </w:p>
          <w:p w14:paraId="6E5F778A" w14:textId="5F79DBB3" w:rsidR="00D177F0" w:rsidRDefault="00D177F0" w:rsidP="00843F9E">
            <w:proofErr w:type="spellStart"/>
            <w:r>
              <w:t>Kylene</w:t>
            </w:r>
            <w:proofErr w:type="spellEnd"/>
            <w:r>
              <w:t xml:space="preserve"> says that the only thing she tells them ahead of time is whether the text they are going to be reading is narrative or non-fiction.  She then proceeds with this activity.</w:t>
            </w:r>
          </w:p>
          <w:p w14:paraId="61514E6C" w14:textId="77777777" w:rsidR="00D177F0" w:rsidRDefault="00D177F0" w:rsidP="00843F9E">
            <w:pPr>
              <w:rPr>
                <w:color w:val="0000FF"/>
              </w:rPr>
            </w:pPr>
            <w:r w:rsidRPr="00D177F0">
              <w:rPr>
                <w:color w:val="0000FF"/>
              </w:rPr>
              <w:t>(Slides 9 – 11)</w:t>
            </w:r>
          </w:p>
          <w:p w14:paraId="6EE2C644" w14:textId="228407B2" w:rsidR="00EE0453" w:rsidRPr="00EE0453" w:rsidRDefault="00EE0453" w:rsidP="00843F9E">
            <w:r w:rsidRPr="00EE0453">
              <w:t xml:space="preserve">Participants use the 12 words/phrases to form 5 sentences with a partner.  Once the sentences are formed, call on students to share.  These are recorded on the first column of a two-column table.  Once all of the words/phrases are accounted for or when students don’t have anything new, ask what questions these statements generate.  These are recorded on the second column.  Now students have a </w:t>
            </w:r>
            <w:r w:rsidRPr="00EE0453">
              <w:rPr>
                <w:i/>
              </w:rPr>
              <w:t>reason</w:t>
            </w:r>
            <w:r w:rsidRPr="00EE0453">
              <w:t xml:space="preserve"> to read the article.</w:t>
            </w:r>
          </w:p>
        </w:tc>
        <w:tc>
          <w:tcPr>
            <w:tcW w:w="2538" w:type="dxa"/>
          </w:tcPr>
          <w:p w14:paraId="0CDD0E20" w14:textId="3B138A83" w:rsidR="00A94C9E" w:rsidRDefault="00A94C9E" w:rsidP="00E2565E">
            <w:pPr>
              <w:rPr>
                <w:b/>
                <w:color w:val="008000"/>
              </w:rPr>
            </w:pPr>
          </w:p>
        </w:tc>
      </w:tr>
      <w:tr w:rsidR="00A94C9E" w14:paraId="5DBC58DD" w14:textId="77777777" w:rsidTr="00E2565E">
        <w:tc>
          <w:tcPr>
            <w:tcW w:w="1548" w:type="dxa"/>
          </w:tcPr>
          <w:p w14:paraId="2304329C" w14:textId="5CC6A701" w:rsidR="00583AD2" w:rsidRDefault="00583AD2" w:rsidP="00E2565E">
            <w:r>
              <w:lastRenderedPageBreak/>
              <w:t>15 minutes</w:t>
            </w:r>
          </w:p>
        </w:tc>
        <w:tc>
          <w:tcPr>
            <w:tcW w:w="4770" w:type="dxa"/>
          </w:tcPr>
          <w:p w14:paraId="731647BC" w14:textId="6993FC7E" w:rsidR="00A94C9E" w:rsidRDefault="00A94C9E" w:rsidP="00843F9E">
            <w:r>
              <w:t>BREAK</w:t>
            </w:r>
          </w:p>
        </w:tc>
        <w:tc>
          <w:tcPr>
            <w:tcW w:w="2538" w:type="dxa"/>
          </w:tcPr>
          <w:p w14:paraId="38CAF8EC" w14:textId="77777777" w:rsidR="00A94C9E" w:rsidRDefault="00A94C9E" w:rsidP="00E2565E">
            <w:pPr>
              <w:rPr>
                <w:b/>
                <w:color w:val="008000"/>
              </w:rPr>
            </w:pPr>
          </w:p>
        </w:tc>
      </w:tr>
      <w:tr w:rsidR="00457EA2" w14:paraId="04DD26CC" w14:textId="77777777" w:rsidTr="00E2565E">
        <w:tc>
          <w:tcPr>
            <w:tcW w:w="1548" w:type="dxa"/>
          </w:tcPr>
          <w:p w14:paraId="6D976A9B" w14:textId="765F8394" w:rsidR="00583AD2" w:rsidRDefault="00583AD2" w:rsidP="00495708">
            <w:r>
              <w:t>20 minutes</w:t>
            </w:r>
          </w:p>
        </w:tc>
        <w:tc>
          <w:tcPr>
            <w:tcW w:w="4770" w:type="dxa"/>
          </w:tcPr>
          <w:p w14:paraId="64E1A834" w14:textId="77777777" w:rsidR="00457EA2" w:rsidRDefault="00457EA2" w:rsidP="00843F9E">
            <w:r>
              <w:t>Retelling</w:t>
            </w:r>
            <w:r w:rsidR="007F7525">
              <w:t xml:space="preserve"> </w:t>
            </w:r>
          </w:p>
          <w:p w14:paraId="3FFEC24F" w14:textId="2EA98341" w:rsidR="007F7525" w:rsidRPr="007F7525" w:rsidRDefault="007F7525" w:rsidP="00843F9E">
            <w:pPr>
              <w:rPr>
                <w:color w:val="0000FF"/>
              </w:rPr>
            </w:pPr>
            <w:r>
              <w:t xml:space="preserve">Definition </w:t>
            </w:r>
            <w:r w:rsidR="00D177F0">
              <w:rPr>
                <w:color w:val="0000FF"/>
              </w:rPr>
              <w:t>(Slide 12</w:t>
            </w:r>
            <w:r w:rsidRPr="007F7525">
              <w:rPr>
                <w:color w:val="0000FF"/>
              </w:rPr>
              <w:t>)</w:t>
            </w:r>
          </w:p>
          <w:p w14:paraId="2B712E5C" w14:textId="41B6F6D8" w:rsidR="007F7525" w:rsidRPr="007F7525" w:rsidRDefault="007F7525" w:rsidP="00843F9E">
            <w:pPr>
              <w:rPr>
                <w:color w:val="0000FF"/>
              </w:rPr>
            </w:pPr>
            <w:r>
              <w:t xml:space="preserve">Rationale </w:t>
            </w:r>
            <w:r w:rsidR="00D177F0">
              <w:rPr>
                <w:color w:val="0000FF"/>
              </w:rPr>
              <w:t>(Slides 13-14</w:t>
            </w:r>
            <w:r w:rsidRPr="007F7525">
              <w:rPr>
                <w:color w:val="0000FF"/>
              </w:rPr>
              <w:t>)</w:t>
            </w:r>
          </w:p>
          <w:p w14:paraId="23888431" w14:textId="77777777" w:rsidR="00395340" w:rsidRDefault="007F7525" w:rsidP="00843F9E">
            <w:r>
              <w:t xml:space="preserve">Remember the GRR… </w:t>
            </w:r>
            <w:r w:rsidR="00D177F0">
              <w:rPr>
                <w:color w:val="0000FF"/>
              </w:rPr>
              <w:t>(Slide 15</w:t>
            </w:r>
            <w:r w:rsidRPr="007F7525">
              <w:rPr>
                <w:color w:val="0000FF"/>
              </w:rPr>
              <w:t>)</w:t>
            </w:r>
            <w:r>
              <w:t xml:space="preserve">  Be sure to stress that we do everything orally first, then move to independent or written.  </w:t>
            </w:r>
          </w:p>
          <w:p w14:paraId="16829A05" w14:textId="77777777" w:rsidR="00395340" w:rsidRDefault="00395340" w:rsidP="00843F9E"/>
          <w:p w14:paraId="2B5B6FEF" w14:textId="6B3E4AEE" w:rsidR="00395340" w:rsidRDefault="00395340" w:rsidP="00843F9E">
            <w:pPr>
              <w:rPr>
                <w:color w:val="0000FF"/>
              </w:rPr>
            </w:pPr>
            <w:r>
              <w:t xml:space="preserve">Remind participants about the DOK: we are connecting to deeper thinking!  </w:t>
            </w:r>
            <w:r w:rsidRPr="00395340">
              <w:rPr>
                <w:color w:val="0000FF"/>
              </w:rPr>
              <w:t>(Slide 16)</w:t>
            </w:r>
          </w:p>
          <w:p w14:paraId="7ABDCB36" w14:textId="2CECEB6E" w:rsidR="00E1631F" w:rsidRDefault="00E1631F" w:rsidP="00843F9E">
            <w:r w:rsidRPr="00E1631F">
              <w:rPr>
                <w:color w:val="FF0000"/>
              </w:rPr>
              <w:t>HANDOUT</w:t>
            </w:r>
            <w:r>
              <w:rPr>
                <w:color w:val="0000FF"/>
              </w:rPr>
              <w:t xml:space="preserve"> – </w:t>
            </w:r>
            <w:r w:rsidRPr="00E1631F">
              <w:t xml:space="preserve">3D Bloom’s Taxonomy </w:t>
            </w:r>
          </w:p>
          <w:p w14:paraId="1810964F" w14:textId="4F6302C8" w:rsidR="00E1631F" w:rsidRPr="00E1631F" w:rsidRDefault="00E1631F" w:rsidP="00843F9E">
            <w:r>
              <w:t>Have a discussion:  Where is retelling on this graphic?  Where is summary?</w:t>
            </w:r>
          </w:p>
          <w:p w14:paraId="4FCD8432" w14:textId="77777777" w:rsidR="00395340" w:rsidRDefault="00395340" w:rsidP="00843F9E"/>
          <w:p w14:paraId="300C5B36" w14:textId="4743FE61" w:rsidR="007F7525" w:rsidRDefault="007F7525" w:rsidP="00843F9E">
            <w:r>
              <w:t>There is a continuum to this!</w:t>
            </w:r>
          </w:p>
          <w:p w14:paraId="6513EDA6" w14:textId="77777777" w:rsidR="007F7525" w:rsidRPr="007F7525" w:rsidRDefault="007F7525" w:rsidP="007F7525">
            <w:pPr>
              <w:numPr>
                <w:ilvl w:val="0"/>
                <w:numId w:val="1"/>
              </w:numPr>
            </w:pPr>
            <w:r w:rsidRPr="007F7525">
              <w:t>If you are using a DRA or DRA2 to assess reading, a retelling is an important component to test comprehension.  In the DRA it is called a Summary, but what they are really asking for is a Retelling.</w:t>
            </w:r>
          </w:p>
          <w:p w14:paraId="4890DAA3" w14:textId="77777777" w:rsidR="007F7525" w:rsidRPr="007F7525" w:rsidRDefault="007F7525" w:rsidP="007F7525">
            <w:pPr>
              <w:numPr>
                <w:ilvl w:val="0"/>
                <w:numId w:val="1"/>
              </w:numPr>
            </w:pPr>
            <w:r w:rsidRPr="007F7525">
              <w:t>Remember that Summary is a higher comprehension skill.</w:t>
            </w:r>
          </w:p>
          <w:p w14:paraId="7820772D" w14:textId="77777777" w:rsidR="007F7525" w:rsidRDefault="007F7525" w:rsidP="00843F9E">
            <w:pPr>
              <w:numPr>
                <w:ilvl w:val="0"/>
                <w:numId w:val="1"/>
              </w:numPr>
            </w:pPr>
            <w:r w:rsidRPr="007F7525">
              <w:t>We’ll talk about how to get to deeper comprehension (deeper than a retelling) in a minute.</w:t>
            </w:r>
          </w:p>
          <w:p w14:paraId="108902FF" w14:textId="33DD10DD" w:rsidR="007F7525" w:rsidRDefault="007F7525" w:rsidP="00843F9E">
            <w:r>
              <w:lastRenderedPageBreak/>
              <w:t>Do a practice retelling using the Go! Shape Map (shortened version, stressing predicting using only the title of the book-don’t show the cover yet!-and</w:t>
            </w:r>
            <w:r w:rsidR="00DC2387">
              <w:t xml:space="preserve"> tapping prior knowledge)</w:t>
            </w:r>
            <w:r w:rsidR="003E6DE6">
              <w:t xml:space="preserve">.  </w:t>
            </w:r>
            <w:r w:rsidR="00B0060A">
              <w:t xml:space="preserve">Use the book, </w:t>
            </w:r>
            <w:r w:rsidR="00B0060A" w:rsidRPr="00B0060A">
              <w:rPr>
                <w:i/>
              </w:rPr>
              <w:t>Oh No, George!</w:t>
            </w:r>
            <w:r w:rsidR="00B0060A">
              <w:t xml:space="preserve">  </w:t>
            </w:r>
            <w:r w:rsidR="003E6DE6">
              <w:t>This actually forms the first level of the Profundity Scale so it fits nicely.</w:t>
            </w:r>
          </w:p>
          <w:p w14:paraId="734497AC" w14:textId="246E8155" w:rsidR="00DC2387" w:rsidRDefault="00A66CE8" w:rsidP="00843F9E">
            <w:r>
              <w:t xml:space="preserve">Review the Retelling Rubrics </w:t>
            </w:r>
            <w:r w:rsidRPr="00A66CE8">
              <w:rPr>
                <w:color w:val="FF0000"/>
              </w:rPr>
              <w:t>HANDOUTS</w:t>
            </w:r>
            <w:r w:rsidR="00E1631F">
              <w:rPr>
                <w:color w:val="FF0000"/>
              </w:rPr>
              <w:t xml:space="preserve"> </w:t>
            </w:r>
            <w:r w:rsidR="00E1631F" w:rsidRPr="00E1631F">
              <w:t>(Shape GO! Map, The Heart of Retelling Chart, Ideas for Innovating Heart of Retelling Chart Categories, Retelling Rubrics)</w:t>
            </w:r>
          </w:p>
        </w:tc>
        <w:tc>
          <w:tcPr>
            <w:tcW w:w="2538" w:type="dxa"/>
          </w:tcPr>
          <w:p w14:paraId="297B93AD" w14:textId="4947B77B" w:rsidR="00457EA2" w:rsidRDefault="00457EA2" w:rsidP="00E2565E">
            <w:pPr>
              <w:rPr>
                <w:b/>
                <w:color w:val="008000"/>
              </w:rPr>
            </w:pPr>
          </w:p>
        </w:tc>
      </w:tr>
      <w:tr w:rsidR="00457EA2" w14:paraId="0FCABAEB" w14:textId="77777777" w:rsidTr="00E2565E">
        <w:tc>
          <w:tcPr>
            <w:tcW w:w="1548" w:type="dxa"/>
          </w:tcPr>
          <w:p w14:paraId="048C75A1" w14:textId="1F21B725" w:rsidR="00583AD2" w:rsidRDefault="00583AD2" w:rsidP="00E2565E">
            <w:r>
              <w:lastRenderedPageBreak/>
              <w:t>30 minutes</w:t>
            </w:r>
          </w:p>
        </w:tc>
        <w:tc>
          <w:tcPr>
            <w:tcW w:w="4770" w:type="dxa"/>
          </w:tcPr>
          <w:p w14:paraId="5C7BAC27" w14:textId="61029E52" w:rsidR="003054AC" w:rsidRDefault="003054AC" w:rsidP="00843F9E">
            <w:r>
              <w:t xml:space="preserve">Profundity – what is it and why bother? </w:t>
            </w:r>
            <w:r w:rsidRPr="003054AC">
              <w:rPr>
                <w:color w:val="0000FF"/>
              </w:rPr>
              <w:t>(Slides 17-21)</w:t>
            </w:r>
          </w:p>
          <w:p w14:paraId="42DCBE4F" w14:textId="77777777" w:rsidR="00457EA2" w:rsidRDefault="009124D3" w:rsidP="00843F9E">
            <w:pPr>
              <w:rPr>
                <w:color w:val="FF0000"/>
              </w:rPr>
            </w:pPr>
            <w:r>
              <w:t>Narrative Profundity</w:t>
            </w:r>
            <w:r w:rsidR="00F65E18">
              <w:t xml:space="preserve"> </w:t>
            </w:r>
            <w:r w:rsidR="00F65E18" w:rsidRPr="00F65E18">
              <w:rPr>
                <w:color w:val="FF0000"/>
              </w:rPr>
              <w:t>(HANDOUTS)</w:t>
            </w:r>
          </w:p>
          <w:p w14:paraId="297DB63D" w14:textId="77777777" w:rsidR="00B0060A" w:rsidRPr="00B0060A" w:rsidRDefault="00B0060A" w:rsidP="00843F9E">
            <w:pPr>
              <w:rPr>
                <w:i/>
              </w:rPr>
            </w:pPr>
            <w:r w:rsidRPr="00B0060A">
              <w:rPr>
                <w:i/>
              </w:rPr>
              <w:t xml:space="preserve">The Profundity Scales are a heuristic that help teachers assess how deeply a student is able to drill down into comprehension.  Think about the Depth of Knowledge chart; we are requiring students to do deeper and deeper thinking as they get to Level 3 and 4.  It is the same with the Profundity Scale; we are teaching students the questions they need to consider, using a scaffold, in order to dig to the deeper meaning in a text.  </w:t>
            </w:r>
          </w:p>
          <w:p w14:paraId="64CC993E" w14:textId="77777777" w:rsidR="00B0060A" w:rsidRPr="00B0060A" w:rsidRDefault="00B0060A" w:rsidP="00843F9E">
            <w:pPr>
              <w:rPr>
                <w:i/>
              </w:rPr>
            </w:pPr>
            <w:r w:rsidRPr="00B0060A">
              <w:rPr>
                <w:i/>
              </w:rPr>
              <w:t>Compare this also to the 4 Questions for the CCS.  The Profundity Scale (and the teaching that goes with it) is just another way to get at this deeper meaning.  The Scale then allows you to assess it.</w:t>
            </w:r>
          </w:p>
          <w:p w14:paraId="5E69B91F" w14:textId="77777777" w:rsidR="00B0060A" w:rsidRDefault="00B0060A" w:rsidP="00843F9E">
            <w:r>
              <w:t xml:space="preserve">Have the participants look over their packet of materials for Narrative.  Point out that we have already done the physical plane for our book, </w:t>
            </w:r>
            <w:r w:rsidRPr="00B0060A">
              <w:rPr>
                <w:i/>
              </w:rPr>
              <w:t xml:space="preserve">Oh No, George! </w:t>
            </w:r>
            <w:r>
              <w:t xml:space="preserve">  </w:t>
            </w:r>
            <w:r w:rsidR="00134C60">
              <w:t xml:space="preserve">Talk your way through the other planes briefly, then go back to the sample chart while filling out the template for the next plane using </w:t>
            </w:r>
            <w:r w:rsidR="00134C60" w:rsidRPr="00134C60">
              <w:rPr>
                <w:i/>
              </w:rPr>
              <w:t>Oh No, George!</w:t>
            </w:r>
            <w:r w:rsidR="00134C60">
              <w:t xml:space="preserve">  Depending on the time, do several more of the planes as practice.</w:t>
            </w:r>
          </w:p>
          <w:p w14:paraId="1B895019" w14:textId="41FBAEC1" w:rsidR="00134C60" w:rsidRPr="00B0060A" w:rsidRDefault="00134C60" w:rsidP="00843F9E">
            <w:r>
              <w:t>End by stressing that it is really difficult to get to the transformational plane, just as it is really difficult to get to DOK 4.  It’s not just about new thinking, it must truly transform your thinking and create action.  We should not expect that all text allows for that depth.</w:t>
            </w:r>
          </w:p>
        </w:tc>
        <w:tc>
          <w:tcPr>
            <w:tcW w:w="2538" w:type="dxa"/>
          </w:tcPr>
          <w:p w14:paraId="7DD281CE" w14:textId="67C2122F" w:rsidR="00632D1F" w:rsidRDefault="00632D1F" w:rsidP="00583AD2">
            <w:pPr>
              <w:rPr>
                <w:b/>
                <w:color w:val="008000"/>
              </w:rPr>
            </w:pPr>
          </w:p>
        </w:tc>
      </w:tr>
      <w:tr w:rsidR="009124D3" w14:paraId="2958FA25" w14:textId="77777777" w:rsidTr="00E2565E">
        <w:tc>
          <w:tcPr>
            <w:tcW w:w="1548" w:type="dxa"/>
          </w:tcPr>
          <w:p w14:paraId="6F717F3E" w14:textId="60BD3ACE" w:rsidR="00583AD2" w:rsidRDefault="00583AD2" w:rsidP="00E2565E">
            <w:r>
              <w:t>30 minutes</w:t>
            </w:r>
          </w:p>
        </w:tc>
        <w:tc>
          <w:tcPr>
            <w:tcW w:w="4770" w:type="dxa"/>
          </w:tcPr>
          <w:p w14:paraId="6F6BE82B" w14:textId="77777777" w:rsidR="009124D3" w:rsidRDefault="009124D3" w:rsidP="00843F9E">
            <w:pPr>
              <w:rPr>
                <w:color w:val="FF0000"/>
              </w:rPr>
            </w:pPr>
            <w:r>
              <w:t>Expository Profundity</w:t>
            </w:r>
            <w:r w:rsidR="00F65E18">
              <w:t xml:space="preserve">  </w:t>
            </w:r>
            <w:r w:rsidR="00F65E18" w:rsidRPr="00F65E18">
              <w:rPr>
                <w:color w:val="FF0000"/>
              </w:rPr>
              <w:t>(HANDOUT)</w:t>
            </w:r>
          </w:p>
          <w:p w14:paraId="34DEC167" w14:textId="7B250C9C" w:rsidR="00632D1F" w:rsidRDefault="00632D1F" w:rsidP="00843F9E">
            <w:r>
              <w:lastRenderedPageBreak/>
              <w:t xml:space="preserve">Use the </w:t>
            </w:r>
            <w:r w:rsidR="004524F2">
              <w:t xml:space="preserve">“The American </w:t>
            </w:r>
            <w:r w:rsidRPr="004524F2">
              <w:t>Crocodile</w:t>
            </w:r>
            <w:r w:rsidR="004524F2">
              <w:t>”</w:t>
            </w:r>
            <w:r>
              <w:t xml:space="preserve"> article from </w:t>
            </w:r>
            <w:proofErr w:type="spellStart"/>
            <w:r>
              <w:t>ReadWorks</w:t>
            </w:r>
            <w:proofErr w:type="spellEnd"/>
            <w:r>
              <w:t xml:space="preserve"> </w:t>
            </w:r>
            <w:r w:rsidR="00727463">
              <w:t>(Lexile 760- 2</w:t>
            </w:r>
            <w:r w:rsidR="00727463" w:rsidRPr="00727463">
              <w:rPr>
                <w:vertAlign w:val="superscript"/>
              </w:rPr>
              <w:t>nd</w:t>
            </w:r>
            <w:r w:rsidR="00727463">
              <w:t xml:space="preserve"> grade) </w:t>
            </w:r>
            <w:r w:rsidRPr="00632D1F">
              <w:rPr>
                <w:color w:val="FF0000"/>
              </w:rPr>
              <w:t>HANDOUT</w:t>
            </w:r>
          </w:p>
          <w:p w14:paraId="22F12C86" w14:textId="77777777" w:rsidR="00134C60" w:rsidRDefault="008E690A" w:rsidP="00843F9E">
            <w:r>
              <w:t xml:space="preserve">Go through the Expository packet, explaining how you would teach each level.  Have participants go to </w:t>
            </w:r>
            <w:proofErr w:type="spellStart"/>
            <w:r>
              <w:t>ReadWorks</w:t>
            </w:r>
            <w:proofErr w:type="spellEnd"/>
            <w:r>
              <w:t xml:space="preserve"> and show them how to find an expository text at the appropriate </w:t>
            </w:r>
            <w:proofErr w:type="spellStart"/>
            <w:r>
              <w:t>lexile</w:t>
            </w:r>
            <w:proofErr w:type="spellEnd"/>
            <w:r>
              <w:t>.  If they do not have a device with them, have them choose one of the articles already printed from the pile provided.  Have them spend the next 15 minutes working with a partner or in threes to fill in the Expository Profundity heuristic.</w:t>
            </w:r>
          </w:p>
          <w:p w14:paraId="702B5E5D" w14:textId="4409AC41" w:rsidR="008E690A" w:rsidRPr="00134C60" w:rsidRDefault="008E690A" w:rsidP="00843F9E">
            <w:r>
              <w:t>Bring everyone back together to discuss the teaching and how you would use this for assessment.</w:t>
            </w:r>
          </w:p>
        </w:tc>
        <w:tc>
          <w:tcPr>
            <w:tcW w:w="2538" w:type="dxa"/>
          </w:tcPr>
          <w:p w14:paraId="4AD004E7" w14:textId="6B7BD9D6" w:rsidR="009124D3" w:rsidRDefault="009124D3" w:rsidP="00E2565E">
            <w:pPr>
              <w:rPr>
                <w:b/>
                <w:color w:val="008000"/>
              </w:rPr>
            </w:pPr>
          </w:p>
        </w:tc>
      </w:tr>
      <w:tr w:rsidR="009124D3" w14:paraId="3E5EDDB8" w14:textId="77777777" w:rsidTr="00E2565E">
        <w:tc>
          <w:tcPr>
            <w:tcW w:w="1548" w:type="dxa"/>
          </w:tcPr>
          <w:p w14:paraId="55812A51" w14:textId="3E54FDB5" w:rsidR="00583AD2" w:rsidRDefault="00583AD2" w:rsidP="00E2565E">
            <w:r>
              <w:lastRenderedPageBreak/>
              <w:t>20 minutes</w:t>
            </w:r>
          </w:p>
        </w:tc>
        <w:tc>
          <w:tcPr>
            <w:tcW w:w="4770" w:type="dxa"/>
          </w:tcPr>
          <w:p w14:paraId="57414D33" w14:textId="5EFD8766" w:rsidR="009124D3" w:rsidRDefault="009124D3" w:rsidP="00843F9E">
            <w:r>
              <w:t>Assignment for next time</w:t>
            </w:r>
            <w:r w:rsidR="00255479">
              <w:t xml:space="preserve"> </w:t>
            </w:r>
            <w:r w:rsidR="00255479" w:rsidRPr="00255479">
              <w:rPr>
                <w:color w:val="0000FF"/>
              </w:rPr>
              <w:t>(Slide 22)</w:t>
            </w:r>
          </w:p>
          <w:p w14:paraId="7F3B8D51" w14:textId="2931886C" w:rsidR="009124D3" w:rsidRDefault="009124D3" w:rsidP="00843F9E">
            <w:r>
              <w:t>Sample of Portfolio and what might be expected for the “presentation”</w:t>
            </w:r>
          </w:p>
        </w:tc>
        <w:tc>
          <w:tcPr>
            <w:tcW w:w="2538" w:type="dxa"/>
          </w:tcPr>
          <w:p w14:paraId="2AA95CEE" w14:textId="5685EB91" w:rsidR="009124D3" w:rsidRDefault="009124D3" w:rsidP="00E2565E">
            <w:pPr>
              <w:rPr>
                <w:b/>
                <w:color w:val="008000"/>
              </w:rPr>
            </w:pPr>
          </w:p>
        </w:tc>
      </w:tr>
      <w:tr w:rsidR="009124D3" w14:paraId="3AD4D50D" w14:textId="77777777" w:rsidTr="00E2565E">
        <w:tc>
          <w:tcPr>
            <w:tcW w:w="1548" w:type="dxa"/>
          </w:tcPr>
          <w:p w14:paraId="586CABB7" w14:textId="5A0BB3ED" w:rsidR="00583AD2" w:rsidRDefault="00583AD2" w:rsidP="00E2565E">
            <w:r>
              <w:t>10 minutes</w:t>
            </w:r>
          </w:p>
        </w:tc>
        <w:tc>
          <w:tcPr>
            <w:tcW w:w="4770" w:type="dxa"/>
          </w:tcPr>
          <w:p w14:paraId="5C047D72" w14:textId="3F402F9E" w:rsidR="009124D3" w:rsidRDefault="009124D3" w:rsidP="00843F9E">
            <w:r>
              <w:t>Wrap up and Ticket Out the Door</w:t>
            </w:r>
            <w:r w:rsidR="00255479">
              <w:t xml:space="preserve"> </w:t>
            </w:r>
            <w:r w:rsidR="00255479" w:rsidRPr="00255479">
              <w:rPr>
                <w:color w:val="0000FF"/>
              </w:rPr>
              <w:t>(Slide 23)</w:t>
            </w:r>
          </w:p>
        </w:tc>
        <w:tc>
          <w:tcPr>
            <w:tcW w:w="2538" w:type="dxa"/>
          </w:tcPr>
          <w:p w14:paraId="334D62D2" w14:textId="0E025F18" w:rsidR="009124D3" w:rsidRDefault="009124D3" w:rsidP="00E2565E">
            <w:pPr>
              <w:rPr>
                <w:b/>
                <w:color w:val="008000"/>
              </w:rPr>
            </w:pPr>
          </w:p>
        </w:tc>
      </w:tr>
    </w:tbl>
    <w:p w14:paraId="11FE277F" w14:textId="77777777" w:rsidR="0029161B" w:rsidRDefault="0029161B"/>
    <w:sectPr w:rsidR="0029161B" w:rsidSect="00632D1F">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BD2"/>
    <w:multiLevelType w:val="hybridMultilevel"/>
    <w:tmpl w:val="8A2AEA46"/>
    <w:lvl w:ilvl="0" w:tplc="10FABBEA">
      <w:start w:val="1"/>
      <w:numFmt w:val="bullet"/>
      <w:lvlText w:val=""/>
      <w:lvlJc w:val="left"/>
      <w:pPr>
        <w:tabs>
          <w:tab w:val="num" w:pos="720"/>
        </w:tabs>
        <w:ind w:left="720" w:hanging="360"/>
      </w:pPr>
      <w:rPr>
        <w:rFonts w:ascii="Wingdings 2" w:hAnsi="Wingdings 2" w:hint="default"/>
      </w:rPr>
    </w:lvl>
    <w:lvl w:ilvl="1" w:tplc="B64AA6C0" w:tentative="1">
      <w:start w:val="1"/>
      <w:numFmt w:val="bullet"/>
      <w:lvlText w:val=""/>
      <w:lvlJc w:val="left"/>
      <w:pPr>
        <w:tabs>
          <w:tab w:val="num" w:pos="1440"/>
        </w:tabs>
        <w:ind w:left="1440" w:hanging="360"/>
      </w:pPr>
      <w:rPr>
        <w:rFonts w:ascii="Wingdings 2" w:hAnsi="Wingdings 2" w:hint="default"/>
      </w:rPr>
    </w:lvl>
    <w:lvl w:ilvl="2" w:tplc="A8D6A524" w:tentative="1">
      <w:start w:val="1"/>
      <w:numFmt w:val="bullet"/>
      <w:lvlText w:val=""/>
      <w:lvlJc w:val="left"/>
      <w:pPr>
        <w:tabs>
          <w:tab w:val="num" w:pos="2160"/>
        </w:tabs>
        <w:ind w:left="2160" w:hanging="360"/>
      </w:pPr>
      <w:rPr>
        <w:rFonts w:ascii="Wingdings 2" w:hAnsi="Wingdings 2" w:hint="default"/>
      </w:rPr>
    </w:lvl>
    <w:lvl w:ilvl="3" w:tplc="E5C680C4" w:tentative="1">
      <w:start w:val="1"/>
      <w:numFmt w:val="bullet"/>
      <w:lvlText w:val=""/>
      <w:lvlJc w:val="left"/>
      <w:pPr>
        <w:tabs>
          <w:tab w:val="num" w:pos="2880"/>
        </w:tabs>
        <w:ind w:left="2880" w:hanging="360"/>
      </w:pPr>
      <w:rPr>
        <w:rFonts w:ascii="Wingdings 2" w:hAnsi="Wingdings 2" w:hint="default"/>
      </w:rPr>
    </w:lvl>
    <w:lvl w:ilvl="4" w:tplc="796A5CB2" w:tentative="1">
      <w:start w:val="1"/>
      <w:numFmt w:val="bullet"/>
      <w:lvlText w:val=""/>
      <w:lvlJc w:val="left"/>
      <w:pPr>
        <w:tabs>
          <w:tab w:val="num" w:pos="3600"/>
        </w:tabs>
        <w:ind w:left="3600" w:hanging="360"/>
      </w:pPr>
      <w:rPr>
        <w:rFonts w:ascii="Wingdings 2" w:hAnsi="Wingdings 2" w:hint="default"/>
      </w:rPr>
    </w:lvl>
    <w:lvl w:ilvl="5" w:tplc="6FBCEE96" w:tentative="1">
      <w:start w:val="1"/>
      <w:numFmt w:val="bullet"/>
      <w:lvlText w:val=""/>
      <w:lvlJc w:val="left"/>
      <w:pPr>
        <w:tabs>
          <w:tab w:val="num" w:pos="4320"/>
        </w:tabs>
        <w:ind w:left="4320" w:hanging="360"/>
      </w:pPr>
      <w:rPr>
        <w:rFonts w:ascii="Wingdings 2" w:hAnsi="Wingdings 2" w:hint="default"/>
      </w:rPr>
    </w:lvl>
    <w:lvl w:ilvl="6" w:tplc="B684660C" w:tentative="1">
      <w:start w:val="1"/>
      <w:numFmt w:val="bullet"/>
      <w:lvlText w:val=""/>
      <w:lvlJc w:val="left"/>
      <w:pPr>
        <w:tabs>
          <w:tab w:val="num" w:pos="5040"/>
        </w:tabs>
        <w:ind w:left="5040" w:hanging="360"/>
      </w:pPr>
      <w:rPr>
        <w:rFonts w:ascii="Wingdings 2" w:hAnsi="Wingdings 2" w:hint="default"/>
      </w:rPr>
    </w:lvl>
    <w:lvl w:ilvl="7" w:tplc="4350DC08" w:tentative="1">
      <w:start w:val="1"/>
      <w:numFmt w:val="bullet"/>
      <w:lvlText w:val=""/>
      <w:lvlJc w:val="left"/>
      <w:pPr>
        <w:tabs>
          <w:tab w:val="num" w:pos="5760"/>
        </w:tabs>
        <w:ind w:left="5760" w:hanging="360"/>
      </w:pPr>
      <w:rPr>
        <w:rFonts w:ascii="Wingdings 2" w:hAnsi="Wingdings 2" w:hint="default"/>
      </w:rPr>
    </w:lvl>
    <w:lvl w:ilvl="8" w:tplc="BFD8317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5E"/>
    <w:rsid w:val="000F7012"/>
    <w:rsid w:val="00134C60"/>
    <w:rsid w:val="0025529F"/>
    <w:rsid w:val="00255479"/>
    <w:rsid w:val="0029161B"/>
    <w:rsid w:val="003054AC"/>
    <w:rsid w:val="00395340"/>
    <w:rsid w:val="003E6DE6"/>
    <w:rsid w:val="004524F2"/>
    <w:rsid w:val="00457EA2"/>
    <w:rsid w:val="00495708"/>
    <w:rsid w:val="004E78A5"/>
    <w:rsid w:val="00583AD2"/>
    <w:rsid w:val="00592F29"/>
    <w:rsid w:val="00632D1F"/>
    <w:rsid w:val="00727463"/>
    <w:rsid w:val="007F7525"/>
    <w:rsid w:val="00843F9E"/>
    <w:rsid w:val="008E690A"/>
    <w:rsid w:val="008E7D23"/>
    <w:rsid w:val="009124D3"/>
    <w:rsid w:val="0091330A"/>
    <w:rsid w:val="00A66CE8"/>
    <w:rsid w:val="00A94C9E"/>
    <w:rsid w:val="00AE5834"/>
    <w:rsid w:val="00B0060A"/>
    <w:rsid w:val="00B263C3"/>
    <w:rsid w:val="00BE0BC8"/>
    <w:rsid w:val="00D177F0"/>
    <w:rsid w:val="00DC2387"/>
    <w:rsid w:val="00E1631F"/>
    <w:rsid w:val="00E2565E"/>
    <w:rsid w:val="00E62C8A"/>
    <w:rsid w:val="00EE0453"/>
    <w:rsid w:val="00F245E3"/>
    <w:rsid w:val="00F30B53"/>
    <w:rsid w:val="00F32675"/>
    <w:rsid w:val="00F6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21CC"/>
  <w14:defaultImageDpi w14:val="300"/>
  <w15:docId w15:val="{C7B4261D-FCC0-4D38-AC3D-B28BFF2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63028">
      <w:bodyDiv w:val="1"/>
      <w:marLeft w:val="0"/>
      <w:marRight w:val="0"/>
      <w:marTop w:val="0"/>
      <w:marBottom w:val="0"/>
      <w:divBdr>
        <w:top w:val="none" w:sz="0" w:space="0" w:color="auto"/>
        <w:left w:val="none" w:sz="0" w:space="0" w:color="auto"/>
        <w:bottom w:val="none" w:sz="0" w:space="0" w:color="auto"/>
        <w:right w:val="none" w:sz="0" w:space="0" w:color="auto"/>
      </w:divBdr>
      <w:divsChild>
        <w:div w:id="583302492">
          <w:marLeft w:val="720"/>
          <w:marRight w:val="0"/>
          <w:marTop w:val="0"/>
          <w:marBottom w:val="400"/>
          <w:divBdr>
            <w:top w:val="none" w:sz="0" w:space="0" w:color="auto"/>
            <w:left w:val="none" w:sz="0" w:space="0" w:color="auto"/>
            <w:bottom w:val="none" w:sz="0" w:space="0" w:color="auto"/>
            <w:right w:val="none" w:sz="0" w:space="0" w:color="auto"/>
          </w:divBdr>
        </w:div>
        <w:div w:id="1445806646">
          <w:marLeft w:val="720"/>
          <w:marRight w:val="0"/>
          <w:marTop w:val="0"/>
          <w:marBottom w:val="400"/>
          <w:divBdr>
            <w:top w:val="none" w:sz="0" w:space="0" w:color="auto"/>
            <w:left w:val="none" w:sz="0" w:space="0" w:color="auto"/>
            <w:bottom w:val="none" w:sz="0" w:space="0" w:color="auto"/>
            <w:right w:val="none" w:sz="0" w:space="0" w:color="auto"/>
          </w:divBdr>
        </w:div>
        <w:div w:id="1973705459">
          <w:marLeft w:val="720"/>
          <w:marRight w:val="0"/>
          <w:marTop w:val="0"/>
          <w:marBottom w:val="4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Mick</dc:creator>
  <cp:keywords/>
  <dc:description/>
  <cp:lastModifiedBy>Susan Codere</cp:lastModifiedBy>
  <cp:revision>2</cp:revision>
  <cp:lastPrinted>2015-02-16T18:46:00Z</cp:lastPrinted>
  <dcterms:created xsi:type="dcterms:W3CDTF">2015-03-16T14:44:00Z</dcterms:created>
  <dcterms:modified xsi:type="dcterms:W3CDTF">2015-03-16T14:44:00Z</dcterms:modified>
</cp:coreProperties>
</file>